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80" w:after="240"/>
      </w:pPr>
      <w:r>
        <w:rPr>
          <w:rFonts w:ascii="Aptos" w:hAnsi="Aptos"/>
          <w:b/>
          <w:caps/>
          <w:color w:val="2563EB"/>
          <w:sz w:val="24"/>
        </w:rPr>
        <w:t>IMPORTAI</w:t>
      </w:r>
    </w:p>
    <w:p>
      <w:pPr>
        <w:spacing w:before="0" w:after="160" w:line="259" w:lineRule="auto"/>
      </w:pPr>
      <w:r>
        <w:rPr>
          <w:rFonts w:ascii="Aptos" w:hAnsi="Aptos"/>
          <w:b/>
          <w:color w:val="0F2744"/>
          <w:sz w:val="68"/>
        </w:rPr>
        <w:t>Import Operations</w:t>
        <w:br/>
        <w:t>Management Platform</w:t>
      </w:r>
    </w:p>
    <w:p>
      <w:pPr>
        <w:spacing w:before="0" w:after="480" w:line="259" w:lineRule="auto"/>
      </w:pPr>
      <w:r>
        <w:rPr>
          <w:rFonts w:ascii="Aptos" w:hAnsi="Aptos"/>
          <w:color w:val="64748B"/>
          <w:sz w:val="30"/>
        </w:rPr>
        <w:t>Product Scope, Operating Model and AI-Enabled Direction</w:t>
      </w:r>
    </w:p>
    <w:tbl>
      <w:tblPr>
        <w:tblW w:type="auto" w:w="0"/>
        <w:jc w:val="left"/>
        <w:tblLayout w:type="fixed"/>
        <w:tblLook w:firstColumn="1" w:firstRow="1" w:lastColumn="0" w:lastRow="0" w:noHBand="0" w:noVBand="1" w:val="04A0"/>
      </w:tblPr>
      <w:tblGrid>
        <w:gridCol w:w="1944"/>
      </w:tblGrid>
      <w:tr>
        <w:trPr>
          <w:trHeight w:val="100" w:hRule="exact"/>
        </w:trPr>
        <w:tc>
          <w:tcPr>
            <w:tcW w:type="dxa" w:w="9994"/>
            <w:shd w:fill="2563EB"/>
            <w:tcMar>
              <w:top w:w="0" w:type="dxa"/>
              <w:start w:w="0" w:type="dxa"/>
              <w:bottom w:w="0" w:type="dxa"/>
              <w:end w:w="0" w:type="dxa"/>
            </w:tcMar>
          </w:tcPr>
          <w:p/>
        </w:tc>
      </w:tr>
    </w:tbl>
    <w:p>
      <w:pPr>
        <w:spacing w:before="560" w:after="120"/>
      </w:pPr>
      <w:r>
        <w:rPr>
          <w:rFonts w:ascii="Aptos" w:hAnsi="Aptos"/>
          <w:b/>
          <w:i w:val="0"/>
          <w:color w:val="172033"/>
          <w:sz w:val="30"/>
        </w:rPr>
        <w:t>A connected operating layer for import orders</w:t>
      </w:r>
    </w:p>
    <w:p>
      <w:pPr>
        <w:spacing w:before="0" w:after="200" w:line="288" w:lineRule="auto"/>
      </w:pPr>
      <w:r>
        <w:rPr>
          <w:rFonts w:ascii="Aptos" w:hAnsi="Aptos"/>
          <w:b w:val="0"/>
          <w:i w:val="0"/>
          <w:color w:val="172033"/>
          <w:sz w:val="23"/>
        </w:rPr>
        <w:t>ImportlyAI organizes the operational work that begins when an import order is approved and continues through supplier readiness, freight, documents, customs clearance, container movement, inland delivery, receipt, and container return.</w:t>
      </w:r>
    </w:p>
    <w:tbl>
      <w:tblPr>
        <w:tblW w:type="auto" w:w="0"/>
        <w:jc w:val="center"/>
        <w:tblLayout w:type="fixed"/>
        <w:tblLook w:firstColumn="1" w:firstRow="1" w:lastColumn="0" w:lastRow="0" w:noHBand="0" w:noVBand="1" w:val="04A0"/>
      </w:tblPr>
      <w:tblGrid>
        <w:gridCol w:w="173"/>
        <w:gridCol w:w="10008"/>
      </w:tblGrid>
      <w:tr>
        <w:tc>
          <w:tcPr>
            <w:tcW w:type="dxa" w:w="4997"/>
            <w:shd w:fill="0F766E"/>
            <w:tcMar>
              <w:top w:w="80" w:type="dxa"/>
              <w:start w:w="20" w:type="dxa"/>
              <w:bottom w:w="80" w:type="dxa"/>
              <w:end w:w="20" w:type="dxa"/>
            </w:tcMar>
            <w:tcBorders>
              <w:top w:val="nil"/>
              <w:left w:val="nil"/>
              <w:bottom w:val="nil"/>
              <w:right w:val="nil"/>
            </w:tcBorders>
          </w:tcPr>
          <w:p/>
        </w:tc>
        <w:tc>
          <w:tcPr>
            <w:tcW w:type="dxa" w:w="4997"/>
            <w:shd w:fill="F4F7FB"/>
            <w:tcMar>
              <w:top w:w="130" w:type="dxa"/>
              <w:start w:w="180" w:type="dxa"/>
              <w:bottom w:w="130" w:type="dxa"/>
              <w:end w:w="180" w:type="dxa"/>
            </w:tcMar>
            <w:tcBorders>
              <w:top w:val="nil"/>
              <w:left w:val="nil"/>
              <w:bottom w:val="nil"/>
              <w:right w:val="nil"/>
            </w:tcBorders>
          </w:tcPr>
          <w:p>
            <w:pPr>
              <w:spacing w:before="0" w:after="60" w:line="259" w:lineRule="auto"/>
            </w:pPr>
            <w:r>
              <w:rPr>
                <w:rFonts w:ascii="Aptos" w:hAnsi="Aptos"/>
                <w:b/>
                <w:i w:val="0"/>
                <w:color w:val="0F2744"/>
                <w:sz w:val="21"/>
              </w:rPr>
              <w:t>Core principle</w:t>
            </w:r>
          </w:p>
          <w:p>
            <w:pPr>
              <w:spacing w:before="0" w:after="0" w:line="259" w:lineRule="auto"/>
            </w:pPr>
            <w:r>
              <w:rPr>
                <w:rFonts w:ascii="Aptos" w:hAnsi="Aptos"/>
                <w:b w:val="0"/>
                <w:i w:val="0"/>
                <w:color w:val="172033"/>
                <w:sz w:val="19"/>
              </w:rPr>
              <w:t>ImportlyAI is not intended to replace a company’s accounting or ERP system. It is the operational workspace for import execution, collaboration and control, with the ability to integrate with financial and enterprise systems as the product evolves.</w:t>
            </w:r>
          </w:p>
        </w:tc>
      </w:tr>
    </w:tbl>
    <w:p>
      <w:pPr>
        <w:spacing w:after="20"/>
      </w:pPr>
    </w:p>
    <w:p>
      <w:pPr>
        <w:spacing w:before="800"/>
        <w:jc w:val="left"/>
      </w:pPr>
      <w:r>
        <w:rPr>
          <w:rFonts w:ascii="Aptos" w:hAnsi="Aptos"/>
          <w:b w:val="0"/>
          <w:i w:val="0"/>
          <w:color w:val="64748B"/>
          <w:sz w:val="19"/>
        </w:rPr>
        <w:t>Prepared as a consolidated product overview</w:t>
      </w:r>
      <w:r>
        <w:rPr>
          <w:rFonts w:ascii="Aptos" w:hAnsi="Aptos"/>
          <w:b/>
          <w:i w:val="0"/>
          <w:color w:val="0F2744"/>
          <w:sz w:val="19"/>
        </w:rPr>
        <w:br/>
        <w:t>September 2026</w:t>
      </w:r>
    </w:p>
    <w:p>
      <w:r>
        <w:br w:type="page"/>
      </w:r>
    </w:p>
    <w:p>
      <w:pPr>
        <w:pStyle w:val="Heading1"/>
        <w:keepNext/>
        <w:spacing w:before="200" w:after="100" w:line="240" w:lineRule="auto"/>
      </w:pPr>
      <w:r>
        <w:rPr>
          <w:rFonts w:ascii="Aptos" w:hAnsi="Aptos"/>
          <w:b/>
          <w:color w:val="0F2744"/>
          <w:sz w:val="38"/>
        </w:rPr>
        <w:t>Executive Overview</w:t>
      </w:r>
    </w:p>
    <w:p>
      <w:pPr>
        <w:spacing w:before="0" w:after="140" w:line="269" w:lineRule="auto"/>
      </w:pPr>
      <w:r>
        <w:rPr>
          <w:rFonts w:ascii="Aptos" w:hAnsi="Aptos"/>
          <w:b w:val="0"/>
          <w:i w:val="0"/>
          <w:color w:val="172033"/>
          <w:sz w:val="21"/>
        </w:rPr>
        <w:t>ImportlyAI is a specialized platform for managing import-order operations within the wider supply chain. It creates a single operational record for each import order and connects the people, dates, documents, containers, customs activities, freight decisions, tasks, discussions, payments and exceptions that surround that order.</w:t>
      </w:r>
    </w:p>
    <w:p>
      <w:pPr>
        <w:spacing w:before="0" w:after="140" w:line="269" w:lineRule="auto"/>
      </w:pPr>
      <w:r>
        <w:rPr>
          <w:rFonts w:ascii="Aptos" w:hAnsi="Aptos"/>
          <w:b w:val="0"/>
          <w:i w:val="0"/>
          <w:color w:val="172033"/>
          <w:sz w:val="21"/>
        </w:rPr>
        <w:t>The platform is designed around a practical reality: import work is rarely handled by one person or one system. Purchasing, logistics, finance, customs brokers, freight forwarders, inland carriers, warehouses, suppliers and management may all participate at different stages. ImportlyAI gives each participant the information and actions relevant to their role while preserving one shared operational history.</w:t>
      </w:r>
    </w:p>
    <w:p>
      <w:pPr>
        <w:spacing w:before="0" w:after="140" w:line="269" w:lineRule="auto"/>
      </w:pPr>
      <w:r>
        <w:rPr>
          <w:rFonts w:ascii="Aptos" w:hAnsi="Aptos"/>
          <w:b w:val="0"/>
          <w:i w:val="0"/>
          <w:color w:val="172033"/>
          <w:sz w:val="21"/>
        </w:rPr>
        <w:t>The longer a company works in the platform, the more structured operational knowledge it accumulates. That data can then support stronger reminders, repeat-order defaults, exception detection, document extraction, recommendations and other AI-assisted workflows. The objective is not to replace responsible human decisions, but to reduce repetitive work and make the next required action easier to identify and execute.</w:t>
      </w:r>
    </w:p>
    <w:p>
      <w:pPr>
        <w:spacing w:before="60" w:after="60" w:line="259" w:lineRule="auto"/>
      </w:pPr>
      <w:r>
        <w:rPr>
          <w:rFonts w:ascii="Aptos" w:hAnsi="Aptos"/>
          <w:b/>
          <w:caps/>
          <w:color w:val="2563EB"/>
          <w:sz w:val="17"/>
        </w:rPr>
        <w:t>PRODUCT POSITION</w:t>
      </w:r>
    </w:p>
    <w:tbl>
      <w:tblPr>
        <w:tblW w:type="auto" w:w="0"/>
        <w:jc w:val="center"/>
        <w:tblLayout w:type="fixed"/>
        <w:tblLook w:firstColumn="1" w:firstRow="1" w:lastColumn="0" w:lastRow="0" w:noHBand="0" w:noVBand="1" w:val="04A0"/>
      </w:tblPr>
      <w:tblGrid>
        <w:gridCol w:w="4997"/>
        <w:gridCol w:w="4997"/>
      </w:tblGrid>
      <w:tr>
        <w:trPr>
          <w:tblHeader w:val="true"/>
          <w:cantSplit/>
        </w:trPr>
        <w:tc>
          <w:tcPr>
            <w:tcW w:type="dxa" w:w="4968"/>
            <w:shd w:fill="0F2744"/>
            <w:vAlign w:val="center"/>
            <w:tcMar>
              <w:top w:w="90" w:type="dxa"/>
              <w:start w:w="90" w:type="dxa"/>
              <w:bottom w:w="90" w:type="dxa"/>
              <w:end w:w="90" w:type="dxa"/>
            </w:tcMar>
          </w:tcPr>
          <w:p>
            <w:pPr>
              <w:spacing w:before="0" w:after="0" w:line="259" w:lineRule="auto"/>
              <w:jc w:val="left"/>
            </w:pPr>
            <w:r>
              <w:rPr>
                <w:rFonts w:ascii="Aptos" w:hAnsi="Aptos"/>
                <w:b/>
                <w:i w:val="0"/>
                <w:color w:val="FFFFFF"/>
                <w:sz w:val="17"/>
              </w:rPr>
              <w:t>ImportlyAI is</w:t>
            </w:r>
          </w:p>
        </w:tc>
        <w:tc>
          <w:tcPr>
            <w:tcW w:type="dxa" w:w="4968"/>
            <w:shd w:fill="0F2744"/>
            <w:vAlign w:val="center"/>
            <w:tcMar>
              <w:top w:w="90" w:type="dxa"/>
              <w:start w:w="90" w:type="dxa"/>
              <w:bottom w:w="90" w:type="dxa"/>
              <w:end w:w="90" w:type="dxa"/>
            </w:tcMar>
          </w:tcPr>
          <w:p>
            <w:pPr>
              <w:spacing w:before="0" w:after="0" w:line="259" w:lineRule="auto"/>
              <w:jc w:val="left"/>
            </w:pPr>
            <w:r>
              <w:rPr>
                <w:rFonts w:ascii="Aptos" w:hAnsi="Aptos"/>
                <w:b/>
                <w:i w:val="0"/>
                <w:color w:val="FFFFFF"/>
                <w:sz w:val="17"/>
              </w:rPr>
              <w:t>ImportlyAI is not</w:t>
            </w:r>
          </w:p>
        </w:tc>
      </w:tr>
      <w:tr>
        <w:trPr>
          <w:cantSplit/>
        </w:trPr>
        <w:tc>
          <w:tcPr>
            <w:tcW w:type="dxa" w:w="4968"/>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8"/>
              </w:rPr>
              <w:t>An operational system for import execution and control</w:t>
            </w:r>
          </w:p>
        </w:tc>
        <w:tc>
          <w:tcPr>
            <w:tcW w:type="dxa" w:w="4968"/>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8"/>
              </w:rPr>
              <w:t>A replacement for the general ledger or full accounting system</w:t>
            </w:r>
          </w:p>
        </w:tc>
      </w:tr>
      <w:tr>
        <w:trPr>
          <w:cantSplit/>
        </w:trPr>
        <w:tc>
          <w:tcPr>
            <w:tcW w:type="dxa" w:w="4968"/>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8"/>
              </w:rPr>
              <w:t>A shared workspace for import-related internal and external parties</w:t>
            </w:r>
          </w:p>
        </w:tc>
        <w:tc>
          <w:tcPr>
            <w:tcW w:type="dxa" w:w="4968"/>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8"/>
              </w:rPr>
              <w:t>An unrestricted portal where every participant sees all company data</w:t>
            </w:r>
          </w:p>
        </w:tc>
      </w:tr>
      <w:tr>
        <w:trPr>
          <w:cantSplit/>
        </w:trPr>
        <w:tc>
          <w:tcPr>
            <w:tcW w:type="dxa" w:w="4968"/>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8"/>
              </w:rPr>
              <w:t>A structured data foundation for automation and AI</w:t>
            </w:r>
          </w:p>
        </w:tc>
        <w:tc>
          <w:tcPr>
            <w:tcW w:type="dxa" w:w="4968"/>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8"/>
              </w:rPr>
              <w:t>A promise that every decision can or should be automated</w:t>
            </w:r>
          </w:p>
        </w:tc>
      </w:tr>
      <w:tr>
        <w:trPr>
          <w:cantSplit/>
        </w:trPr>
        <w:tc>
          <w:tcPr>
            <w:tcW w:type="dxa" w:w="4968"/>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8"/>
              </w:rPr>
              <w:t>A source of operational history, alerts, reports and accountability</w:t>
            </w:r>
          </w:p>
        </w:tc>
        <w:tc>
          <w:tcPr>
            <w:tcW w:type="dxa" w:w="4968"/>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8"/>
              </w:rPr>
              <w:t>A substitute for professional customs, legal or financial judgment</w:t>
            </w:r>
          </w:p>
        </w:tc>
      </w:tr>
    </w:tbl>
    <w:p>
      <w:pPr>
        <w:spacing w:after="40"/>
      </w:pPr>
    </w:p>
    <w:tbl>
      <w:tblPr>
        <w:tblW w:type="auto" w:w="0"/>
        <w:jc w:val="center"/>
        <w:tblLayout w:type="fixed"/>
        <w:tblLook w:firstColumn="1" w:firstRow="1" w:lastColumn="0" w:lastRow="0" w:noHBand="0" w:noVBand="1" w:val="04A0"/>
      </w:tblPr>
      <w:tblGrid>
        <w:gridCol w:w="173"/>
        <w:gridCol w:w="10008"/>
      </w:tblGrid>
      <w:tr>
        <w:tc>
          <w:tcPr>
            <w:tcW w:type="dxa" w:w="4997"/>
            <w:shd w:fill="0F766E"/>
            <w:tcMar>
              <w:top w:w="80" w:type="dxa"/>
              <w:start w:w="20" w:type="dxa"/>
              <w:bottom w:w="80" w:type="dxa"/>
              <w:end w:w="20" w:type="dxa"/>
            </w:tcMar>
            <w:tcBorders>
              <w:top w:val="nil"/>
              <w:left w:val="nil"/>
              <w:bottom w:val="nil"/>
              <w:right w:val="nil"/>
            </w:tcBorders>
          </w:tcPr>
          <w:p/>
        </w:tc>
        <w:tc>
          <w:tcPr>
            <w:tcW w:type="dxa" w:w="4997"/>
            <w:shd w:fill="EEF7F6"/>
            <w:tcMar>
              <w:top w:w="130" w:type="dxa"/>
              <w:start w:w="180" w:type="dxa"/>
              <w:bottom w:w="130" w:type="dxa"/>
              <w:end w:w="180" w:type="dxa"/>
            </w:tcMar>
            <w:tcBorders>
              <w:top w:val="nil"/>
              <w:left w:val="nil"/>
              <w:bottom w:val="nil"/>
              <w:right w:val="nil"/>
            </w:tcBorders>
          </w:tcPr>
          <w:p>
            <w:pPr>
              <w:spacing w:before="0" w:after="60" w:line="259" w:lineRule="auto"/>
            </w:pPr>
            <w:r>
              <w:rPr>
                <w:rFonts w:ascii="Aptos" w:hAnsi="Aptos"/>
                <w:b/>
                <w:i w:val="0"/>
                <w:color w:val="0F2744"/>
                <w:sz w:val="21"/>
              </w:rPr>
              <w:t>Scope boundary</w:t>
            </w:r>
          </w:p>
          <w:p>
            <w:pPr>
              <w:spacing w:before="0" w:after="0" w:line="259" w:lineRule="auto"/>
            </w:pPr>
            <w:r>
              <w:rPr>
                <w:rFonts w:ascii="Aptos" w:hAnsi="Aptos"/>
                <w:b w:val="0"/>
                <w:i w:val="0"/>
                <w:color w:val="172033"/>
                <w:sz w:val="19"/>
              </w:rPr>
              <w:t>The principal operational lifecycle begins once an import order has been approved for execution and continues until the goods are received and the related containers have been returned or otherwise closed operationally.</w:t>
            </w:r>
          </w:p>
        </w:tc>
      </w:tr>
    </w:tbl>
    <w:p>
      <w:pPr>
        <w:spacing w:after="20"/>
      </w:pPr>
    </w:p>
    <w:p>
      <w:r>
        <w:br w:type="page"/>
      </w:r>
    </w:p>
    <w:p>
      <w:pPr>
        <w:pStyle w:val="Heading2"/>
        <w:keepNext/>
        <w:spacing w:before="120" w:after="100" w:line="240" w:lineRule="auto"/>
      </w:pPr>
      <w:r>
        <w:rPr>
          <w:rFonts w:ascii="Aptos" w:hAnsi="Aptos"/>
          <w:b/>
          <w:color w:val="2563EB"/>
          <w:sz w:val="27"/>
        </w:rPr>
        <w:t>Capability Status: Current Platform vs. Product Direction</w:t>
      </w:r>
    </w:p>
    <w:p>
      <w:pPr>
        <w:spacing w:before="0" w:after="140" w:line="269" w:lineRule="auto"/>
      </w:pPr>
      <w:r>
        <w:rPr>
          <w:rFonts w:ascii="Aptos" w:hAnsi="Aptos"/>
          <w:b w:val="0"/>
          <w:i w:val="0"/>
          <w:color w:val="172033"/>
          <w:sz w:val="21"/>
        </w:rPr>
        <w:t>This document distinguishes between functionality already represented in the current ImportlyAI platform and capabilities that form part of the intended automation and integration direction.</w:t>
      </w:r>
    </w:p>
    <w:tbl>
      <w:tblPr>
        <w:tblW w:type="auto" w:w="0"/>
        <w:jc w:val="center"/>
        <w:tblLayout w:type="fixed"/>
        <w:tblLook w:firstColumn="1" w:firstRow="1" w:lastColumn="0" w:lastRow="0" w:noHBand="0" w:noVBand="1" w:val="04A0"/>
      </w:tblPr>
      <w:tblGrid>
        <w:gridCol w:w="3331"/>
        <w:gridCol w:w="3331"/>
        <w:gridCol w:w="3331"/>
      </w:tblGrid>
      <w:tr>
        <w:trPr>
          <w:tblHeader w:val="true"/>
          <w:cantSplit/>
        </w:trPr>
        <w:tc>
          <w:tcPr>
            <w:tcW w:type="dxa" w:w="1800"/>
            <w:shd w:fill="0F2744"/>
            <w:vAlign w:val="center"/>
            <w:tcMar>
              <w:top w:w="90" w:type="dxa"/>
              <w:start w:w="90" w:type="dxa"/>
              <w:bottom w:w="90" w:type="dxa"/>
              <w:end w:w="90" w:type="dxa"/>
            </w:tcMar>
          </w:tcPr>
          <w:p>
            <w:pPr>
              <w:spacing w:before="0" w:after="0" w:line="259" w:lineRule="auto"/>
              <w:jc w:val="left"/>
            </w:pPr>
            <w:r>
              <w:rPr>
                <w:rFonts w:ascii="Aptos" w:hAnsi="Aptos"/>
                <w:b/>
                <w:i w:val="0"/>
                <w:color w:val="FFFFFF"/>
                <w:sz w:val="17"/>
              </w:rPr>
              <w:t>Area</w:t>
            </w:r>
          </w:p>
        </w:tc>
        <w:tc>
          <w:tcPr>
            <w:tcW w:type="dxa" w:w="3960"/>
            <w:shd w:fill="0F2744"/>
            <w:vAlign w:val="center"/>
            <w:tcMar>
              <w:top w:w="90" w:type="dxa"/>
              <w:start w:w="90" w:type="dxa"/>
              <w:bottom w:w="90" w:type="dxa"/>
              <w:end w:w="90" w:type="dxa"/>
            </w:tcMar>
          </w:tcPr>
          <w:p>
            <w:pPr>
              <w:spacing w:before="0" w:after="0" w:line="259" w:lineRule="auto"/>
              <w:jc w:val="left"/>
            </w:pPr>
            <w:r>
              <w:rPr>
                <w:rFonts w:ascii="Aptos" w:hAnsi="Aptos"/>
                <w:b/>
                <w:i w:val="0"/>
                <w:color w:val="FFFFFF"/>
                <w:sz w:val="17"/>
              </w:rPr>
              <w:t>Current platform</w:t>
            </w:r>
          </w:p>
        </w:tc>
        <w:tc>
          <w:tcPr>
            <w:tcW w:type="dxa" w:w="4176"/>
            <w:shd w:fill="0F2744"/>
            <w:vAlign w:val="center"/>
            <w:tcMar>
              <w:top w:w="90" w:type="dxa"/>
              <w:start w:w="90" w:type="dxa"/>
              <w:bottom w:w="90" w:type="dxa"/>
              <w:end w:w="90" w:type="dxa"/>
            </w:tcMar>
          </w:tcPr>
          <w:p>
            <w:pPr>
              <w:spacing w:before="0" w:after="0" w:line="259" w:lineRule="auto"/>
              <w:jc w:val="left"/>
            </w:pPr>
            <w:r>
              <w:rPr>
                <w:rFonts w:ascii="Aptos" w:hAnsi="Aptos"/>
                <w:b/>
                <w:i w:val="0"/>
                <w:color w:val="FFFFFF"/>
                <w:sz w:val="17"/>
              </w:rPr>
              <w:t>Product direction</w:t>
            </w:r>
          </w:p>
        </w:tc>
      </w:tr>
      <w:tr>
        <w:trPr>
          <w:cantSplit/>
        </w:trPr>
        <w:tc>
          <w:tcPr>
            <w:tcW w:type="dxa" w:w="1800"/>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Import orders</w:t>
            </w:r>
          </w:p>
        </w:tc>
        <w:tc>
          <w:tcPr>
            <w:tcW w:type="dxa" w:w="3960"/>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Order records, items, containers, shipping, customs, documents, freight offers, charges and activity</w:t>
            </w:r>
          </w:p>
        </w:tc>
        <w:tc>
          <w:tcPr>
            <w:tcW w:type="dxa" w:w="4176"/>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More automatic order creation and data completion from source documents and prior orders</w:t>
            </w:r>
          </w:p>
        </w:tc>
      </w:tr>
      <w:tr>
        <w:trPr>
          <w:cantSplit/>
        </w:trPr>
        <w:tc>
          <w:tcPr>
            <w:tcW w:type="dxa" w:w="1800"/>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Collaboration</w:t>
            </w:r>
          </w:p>
        </w:tc>
        <w:tc>
          <w:tcPr>
            <w:tcW w:type="dxa" w:w="3960"/>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Company users, role permissions, order visibility, discussion, assignments, evaluations, warnings</w:t>
            </w:r>
          </w:p>
        </w:tc>
        <w:tc>
          <w:tcPr>
            <w:tcW w:type="dxa" w:w="4176"/>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Wider controlled participation by suppliers, freight forwarders and other external parties</w:t>
            </w:r>
          </w:p>
        </w:tc>
      </w:tr>
      <w:tr>
        <w:trPr>
          <w:cantSplit/>
        </w:trPr>
        <w:tc>
          <w:tcPr>
            <w:tcW w:type="dxa" w:w="1800"/>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Customs</w:t>
            </w:r>
          </w:p>
        </w:tc>
        <w:tc>
          <w:tcPr>
            <w:tcW w:type="dxa" w:w="3960"/>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Customs process stages, item/document review, file/declaration/payment/clearance tracking</w:t>
            </w:r>
          </w:p>
        </w:tc>
        <w:tc>
          <w:tcPr>
            <w:tcW w:type="dxa" w:w="4176"/>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More rule-based and AI-assisted identification of required procedures, documents and recurring item requirements</w:t>
            </w:r>
          </w:p>
        </w:tc>
      </w:tr>
      <w:tr>
        <w:trPr>
          <w:cantSplit/>
        </w:trPr>
        <w:tc>
          <w:tcPr>
            <w:tcW w:type="dxa" w:w="1800"/>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Documents</w:t>
            </w:r>
          </w:p>
        </w:tc>
        <w:tc>
          <w:tcPr>
            <w:tcW w:type="dxa" w:w="3960"/>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Required-document tracking, status/review controls and attachments</w:t>
            </w:r>
          </w:p>
        </w:tc>
        <w:tc>
          <w:tcPr>
            <w:tcW w:type="dxa" w:w="4176"/>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AI extraction, cross-checking, missing-data detection and suggested field completion</w:t>
            </w:r>
          </w:p>
        </w:tc>
      </w:tr>
      <w:tr>
        <w:trPr>
          <w:cantSplit/>
        </w:trPr>
        <w:tc>
          <w:tcPr>
            <w:tcW w:type="dxa" w:w="1800"/>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Freight</w:t>
            </w:r>
          </w:p>
        </w:tc>
        <w:tc>
          <w:tcPr>
            <w:tcW w:type="dxa" w:w="3960"/>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Shipping data and structured freight-offer management</w:t>
            </w:r>
          </w:p>
        </w:tc>
        <w:tc>
          <w:tcPr>
            <w:tcW w:type="dxa" w:w="4176"/>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Automated intake, allocation, comparison and recommendation workflows</w:t>
            </w:r>
          </w:p>
        </w:tc>
      </w:tr>
      <w:tr>
        <w:trPr>
          <w:cantSplit/>
        </w:trPr>
        <w:tc>
          <w:tcPr>
            <w:tcW w:type="dxa" w:w="1800"/>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Containers</w:t>
            </w:r>
          </w:p>
        </w:tc>
        <w:tc>
          <w:tcPr>
            <w:tcW w:type="dxa" w:w="3960"/>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Container records, stage tracking, inland movement, warehouse receipt and return monitoring</w:t>
            </w:r>
          </w:p>
        </w:tc>
        <w:tc>
          <w:tcPr>
            <w:tcW w:type="dxa" w:w="4176"/>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Broader carrier/tracking integrations and predictive exception alerts</w:t>
            </w:r>
          </w:p>
        </w:tc>
      </w:tr>
      <w:tr>
        <w:trPr>
          <w:cantSplit/>
        </w:trPr>
        <w:tc>
          <w:tcPr>
            <w:tcW w:type="dxa" w:w="1800"/>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Costs &amp; payments</w:t>
            </w:r>
          </w:p>
        </w:tc>
        <w:tc>
          <w:tcPr>
            <w:tcW w:type="dxa" w:w="3960"/>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Other charges, customs-payment and truck-payment workflows, configurable customs/cost rules</w:t>
            </w:r>
          </w:p>
        </w:tc>
        <w:tc>
          <w:tcPr>
            <w:tcW w:type="dxa" w:w="4176"/>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Deeper landed-cost automation and accounting/ERP synchronization</w:t>
            </w:r>
          </w:p>
        </w:tc>
      </w:tr>
      <w:tr>
        <w:trPr>
          <w:cantSplit/>
        </w:trPr>
        <w:tc>
          <w:tcPr>
            <w:tcW w:type="dxa" w:w="1800"/>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Management intelligence</w:t>
            </w:r>
          </w:p>
        </w:tc>
        <w:tc>
          <w:tcPr>
            <w:tcW w:type="dxa" w:w="3960"/>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Dashboard, reports, notifications, activity history and operational warnings</w:t>
            </w:r>
          </w:p>
        </w:tc>
        <w:tc>
          <w:tcPr>
            <w:tcW w:type="dxa" w:w="4176"/>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AI-supported quality scoring, root-cause analysis and continuous-improvement recommendations</w:t>
            </w:r>
          </w:p>
        </w:tc>
      </w:tr>
    </w:tbl>
    <w:p>
      <w:pPr>
        <w:spacing w:after="40"/>
      </w:pPr>
    </w:p>
    <w:p>
      <w:r>
        <w:br w:type="page"/>
      </w:r>
    </w:p>
    <w:p>
      <w:pPr>
        <w:pStyle w:val="Heading1"/>
        <w:keepNext/>
        <w:spacing w:before="200" w:after="100" w:line="240" w:lineRule="auto"/>
      </w:pPr>
      <w:r>
        <w:rPr>
          <w:rFonts w:ascii="Aptos" w:hAnsi="Aptos"/>
          <w:b/>
          <w:color w:val="0F2744"/>
          <w:sz w:val="38"/>
        </w:rPr>
        <w:t>Contents</w:t>
      </w:r>
    </w:p>
    <w:p>
      <w:pPr>
        <w:spacing w:before="0" w:after="100" w:line="259" w:lineRule="auto"/>
      </w:pPr>
      <w:r>
        <w:rPr>
          <w:rFonts w:ascii="Aptos" w:hAnsi="Aptos"/>
          <w:b/>
          <w:i w:val="0"/>
          <w:color w:val="0F2744"/>
          <w:sz w:val="21"/>
        </w:rPr>
        <w:t>1. Where ImportlyAI Fits in the Supply Chain</w:t>
      </w:r>
    </w:p>
    <w:p>
      <w:pPr>
        <w:spacing w:before="0" w:after="100" w:line="259" w:lineRule="auto"/>
      </w:pPr>
      <w:r>
        <w:rPr>
          <w:rFonts w:ascii="Aptos" w:hAnsi="Aptos"/>
          <w:b w:val="0"/>
          <w:i w:val="0"/>
          <w:color w:val="172033"/>
          <w:sz w:val="21"/>
        </w:rPr>
        <w:t>2. Starting with ImportlyAI</w:t>
      </w:r>
    </w:p>
    <w:p>
      <w:pPr>
        <w:spacing w:before="0" w:after="100" w:line="259" w:lineRule="auto"/>
      </w:pPr>
      <w:r>
        <w:rPr>
          <w:rFonts w:ascii="Aptos" w:hAnsi="Aptos"/>
          <w:b w:val="0"/>
          <w:i w:val="0"/>
          <w:color w:val="172033"/>
          <w:sz w:val="21"/>
        </w:rPr>
        <w:t>3. The Import Order as the Operating Record</w:t>
      </w:r>
    </w:p>
    <w:p>
      <w:pPr>
        <w:spacing w:before="0" w:after="100" w:line="259" w:lineRule="auto"/>
      </w:pPr>
      <w:r>
        <w:rPr>
          <w:rFonts w:ascii="Aptos" w:hAnsi="Aptos"/>
          <w:b/>
          <w:i w:val="0"/>
          <w:color w:val="0F2744"/>
          <w:sz w:val="21"/>
        </w:rPr>
        <w:t>4. The Import Order Lifecycle</w:t>
      </w:r>
    </w:p>
    <w:p>
      <w:pPr>
        <w:spacing w:before="0" w:after="100" w:line="259" w:lineRule="auto"/>
      </w:pPr>
      <w:r>
        <w:rPr>
          <w:rFonts w:ascii="Aptos" w:hAnsi="Aptos"/>
          <w:b w:val="0"/>
          <w:i w:val="0"/>
          <w:color w:val="172033"/>
          <w:sz w:val="21"/>
        </w:rPr>
        <w:t>5. Customs Readiness and Item Approval</w:t>
      </w:r>
    </w:p>
    <w:p>
      <w:pPr>
        <w:spacing w:before="0" w:after="100" w:line="259" w:lineRule="auto"/>
      </w:pPr>
      <w:r>
        <w:rPr>
          <w:rFonts w:ascii="Aptos" w:hAnsi="Aptos"/>
          <w:b w:val="0"/>
          <w:i w:val="0"/>
          <w:color w:val="172033"/>
          <w:sz w:val="21"/>
        </w:rPr>
        <w:t>6. Documents and Data Capture</w:t>
      </w:r>
    </w:p>
    <w:p>
      <w:pPr>
        <w:spacing w:before="0" w:after="100" w:line="259" w:lineRule="auto"/>
      </w:pPr>
      <w:r>
        <w:rPr>
          <w:rFonts w:ascii="Aptos" w:hAnsi="Aptos"/>
          <w:b w:val="0"/>
          <w:i w:val="0"/>
          <w:color w:val="172033"/>
          <w:sz w:val="21"/>
        </w:rPr>
        <w:t>7. Freight Offers and Shipping Management</w:t>
      </w:r>
    </w:p>
    <w:p>
      <w:pPr>
        <w:spacing w:before="0" w:after="100" w:line="259" w:lineRule="auto"/>
      </w:pPr>
      <w:r>
        <w:rPr>
          <w:rFonts w:ascii="Aptos" w:hAnsi="Aptos"/>
          <w:b w:val="0"/>
          <w:i w:val="0"/>
          <w:color w:val="172033"/>
          <w:sz w:val="21"/>
        </w:rPr>
        <w:t>8. Customs Clearance and Payments</w:t>
      </w:r>
    </w:p>
    <w:p>
      <w:pPr>
        <w:spacing w:before="0" w:after="100" w:line="259" w:lineRule="auto"/>
      </w:pPr>
      <w:r>
        <w:rPr>
          <w:rFonts w:ascii="Aptos" w:hAnsi="Aptos"/>
          <w:b w:val="0"/>
          <w:i w:val="0"/>
          <w:color w:val="172033"/>
          <w:sz w:val="21"/>
        </w:rPr>
        <w:t>9. Container and Inland-Transport Management</w:t>
      </w:r>
    </w:p>
    <w:p>
      <w:pPr>
        <w:spacing w:before="0" w:after="100" w:line="259" w:lineRule="auto"/>
      </w:pPr>
      <w:r>
        <w:rPr>
          <w:rFonts w:ascii="Aptos" w:hAnsi="Aptos"/>
          <w:b w:val="0"/>
          <w:i w:val="0"/>
          <w:color w:val="172033"/>
          <w:sz w:val="21"/>
        </w:rPr>
        <w:t>10. Collaboration, Tasks and Operational Memory</w:t>
      </w:r>
    </w:p>
    <w:p>
      <w:pPr>
        <w:spacing w:before="0" w:after="100" w:line="259" w:lineRule="auto"/>
      </w:pPr>
      <w:r>
        <w:rPr>
          <w:rFonts w:ascii="Aptos" w:hAnsi="Aptos"/>
          <w:b w:val="0"/>
          <w:i w:val="0"/>
          <w:color w:val="172033"/>
          <w:sz w:val="21"/>
        </w:rPr>
        <w:t>11. Access Control and External Participation</w:t>
      </w:r>
    </w:p>
    <w:p>
      <w:pPr>
        <w:spacing w:before="0" w:after="100" w:line="259" w:lineRule="auto"/>
      </w:pPr>
      <w:r>
        <w:rPr>
          <w:rFonts w:ascii="Aptos" w:hAnsi="Aptos"/>
          <w:b w:val="0"/>
          <w:i w:val="0"/>
          <w:color w:val="172033"/>
          <w:sz w:val="21"/>
        </w:rPr>
        <w:t>12. Reporting, Auditability and Management Control</w:t>
      </w:r>
    </w:p>
    <w:p>
      <w:pPr>
        <w:spacing w:before="0" w:after="100" w:line="259" w:lineRule="auto"/>
      </w:pPr>
      <w:r>
        <w:rPr>
          <w:rFonts w:ascii="Aptos" w:hAnsi="Aptos"/>
          <w:b w:val="0"/>
          <w:i w:val="0"/>
          <w:color w:val="172033"/>
          <w:sz w:val="21"/>
        </w:rPr>
        <w:t>13. Costs, Landed Cost and Financial Integration</w:t>
      </w:r>
    </w:p>
    <w:p>
      <w:pPr>
        <w:spacing w:before="0" w:after="100" w:line="259" w:lineRule="auto"/>
      </w:pPr>
      <w:r>
        <w:rPr>
          <w:rFonts w:ascii="Aptos" w:hAnsi="Aptos"/>
          <w:b/>
          <w:i w:val="0"/>
          <w:color w:val="0F2744"/>
          <w:sz w:val="21"/>
        </w:rPr>
        <w:t>14. AI and Automation Direction</w:t>
      </w:r>
    </w:p>
    <w:p>
      <w:pPr>
        <w:spacing w:before="0" w:after="100" w:line="259" w:lineRule="auto"/>
      </w:pPr>
      <w:r>
        <w:rPr>
          <w:rFonts w:ascii="Aptos" w:hAnsi="Aptos"/>
          <w:b w:val="0"/>
          <w:i w:val="0"/>
          <w:color w:val="172033"/>
          <w:sz w:val="21"/>
        </w:rPr>
        <w:t>15. Implementation Approach</w:t>
      </w:r>
    </w:p>
    <w:p>
      <w:pPr>
        <w:spacing w:before="0" w:after="100" w:line="259" w:lineRule="auto"/>
      </w:pPr>
      <w:r>
        <w:rPr>
          <w:rFonts w:ascii="Aptos" w:hAnsi="Aptos"/>
          <w:b w:val="0"/>
          <w:i w:val="0"/>
          <w:color w:val="172033"/>
          <w:sz w:val="21"/>
        </w:rPr>
        <w:t>16. The Long-Term Operating Model</w:t>
      </w:r>
    </w:p>
    <w:p>
      <w:r>
        <w:br w:type="page"/>
      </w:r>
    </w:p>
    <w:p>
      <w:pPr>
        <w:pStyle w:val="Heading1"/>
        <w:keepNext/>
        <w:spacing w:before="200" w:after="100" w:line="240" w:lineRule="auto"/>
      </w:pPr>
      <w:r>
        <w:rPr>
          <w:rFonts w:ascii="Aptos" w:hAnsi="Aptos"/>
          <w:b/>
          <w:color w:val="0F2744"/>
          <w:sz w:val="38"/>
        </w:rPr>
        <w:t>1. Where ImportlyAI Fits in the Supply Chain</w:t>
      </w:r>
    </w:p>
    <w:p>
      <w:pPr>
        <w:spacing w:before="0" w:after="140" w:line="269" w:lineRule="auto"/>
      </w:pPr>
      <w:r>
        <w:rPr>
          <w:rFonts w:ascii="Aptos" w:hAnsi="Aptos"/>
          <w:b w:val="0"/>
          <w:i w:val="0"/>
          <w:color w:val="172033"/>
          <w:sz w:val="21"/>
        </w:rPr>
        <w:t>Supply-chain management is broader than import-order management. It can include demand planning, purchasing, supplier management, production, inventory, transport, warehousing, distribution and finance. ImportlyAI focuses deliberately on the operational segment where an approved import purchase must be converted into a successfully executed inbound shipment.</w:t>
      </w:r>
    </w:p>
    <w:p>
      <w:pPr>
        <w:spacing w:before="0" w:after="140" w:line="269" w:lineRule="auto"/>
      </w:pPr>
      <w:r>
        <w:rPr>
          <w:rFonts w:ascii="Aptos" w:hAnsi="Aptos"/>
          <w:b w:val="0"/>
          <w:i w:val="0"/>
          <w:color w:val="172033"/>
          <w:sz w:val="21"/>
        </w:rPr>
        <w:t>That specialization allows the system to follow the operational details that are often spread across spreadsheets, emails, WhatsApp messages, documents, broker correspondence and individual employee knowledge.</w:t>
      </w:r>
    </w:p>
    <w:p>
      <w:pPr>
        <w:pStyle w:val="Heading2"/>
        <w:keepNext/>
        <w:spacing w:before="120" w:after="100" w:line="240" w:lineRule="auto"/>
      </w:pPr>
      <w:r>
        <w:rPr>
          <w:rFonts w:ascii="Aptos" w:hAnsi="Aptos"/>
          <w:b/>
          <w:color w:val="2563EB"/>
          <w:sz w:val="27"/>
        </w:rPr>
        <w:t>Operational Scope</w:t>
      </w:r>
    </w:p>
    <w:p>
      <w:pPr>
        <w:pStyle w:val="ListBullet"/>
        <w:spacing w:before="0" w:after="80" w:line="252" w:lineRule="auto"/>
      </w:pPr>
      <w:r>
        <w:rPr>
          <w:rFonts w:ascii="Aptos" w:hAnsi="Aptos"/>
          <w:color w:val="172033"/>
          <w:sz w:val="20"/>
        </w:rPr>
        <w:t>Create and manage import orders and, where relevant, master orders with child orders.</w:t>
      </w:r>
    </w:p>
    <w:p>
      <w:pPr>
        <w:pStyle w:val="ListBullet"/>
        <w:spacing w:before="0" w:after="80" w:line="252" w:lineRule="auto"/>
      </w:pPr>
      <w:r>
        <w:rPr>
          <w:rFonts w:ascii="Aptos" w:hAnsi="Aptos"/>
          <w:color w:val="172033"/>
          <w:sz w:val="20"/>
        </w:rPr>
        <w:t>Define the imported items, quantities, commercial values and order-level operating information.</w:t>
      </w:r>
    </w:p>
    <w:p>
      <w:pPr>
        <w:pStyle w:val="ListBullet"/>
        <w:spacing w:before="0" w:after="80" w:line="252" w:lineRule="auto"/>
      </w:pPr>
      <w:r>
        <w:rPr>
          <w:rFonts w:ascii="Aptos" w:hAnsi="Aptos"/>
          <w:color w:val="172033"/>
          <w:sz w:val="20"/>
        </w:rPr>
        <w:t>Track supplier readiness and the expected path from booking through departure and arrival.</w:t>
      </w:r>
    </w:p>
    <w:p>
      <w:pPr>
        <w:pStyle w:val="ListBullet"/>
        <w:spacing w:before="0" w:after="80" w:line="252" w:lineRule="auto"/>
      </w:pPr>
      <w:r>
        <w:rPr>
          <w:rFonts w:ascii="Aptos" w:hAnsi="Aptos"/>
          <w:color w:val="172033"/>
          <w:sz w:val="20"/>
        </w:rPr>
        <w:t>Collect, review and monitor the documents required for the order and its items.</w:t>
      </w:r>
    </w:p>
    <w:p>
      <w:pPr>
        <w:pStyle w:val="ListBullet"/>
        <w:spacing w:before="0" w:after="80" w:line="252" w:lineRule="auto"/>
      </w:pPr>
      <w:r>
        <w:rPr>
          <w:rFonts w:ascii="Aptos" w:hAnsi="Aptos"/>
          <w:color w:val="172033"/>
          <w:sz w:val="20"/>
        </w:rPr>
        <w:t>Manage freight information and compare structured freight offers.</w:t>
      </w:r>
    </w:p>
    <w:p>
      <w:pPr>
        <w:pStyle w:val="ListBullet"/>
        <w:spacing w:before="0" w:after="80" w:line="252" w:lineRule="auto"/>
      </w:pPr>
      <w:r>
        <w:rPr>
          <w:rFonts w:ascii="Aptos" w:hAnsi="Aptos"/>
          <w:color w:val="172033"/>
          <w:sz w:val="20"/>
        </w:rPr>
        <w:t>Coordinate customs preparation, declaration, payment and clearance.</w:t>
      </w:r>
    </w:p>
    <w:p>
      <w:pPr>
        <w:pStyle w:val="ListBullet"/>
        <w:spacing w:before="0" w:after="80" w:line="252" w:lineRule="auto"/>
      </w:pPr>
      <w:r>
        <w:rPr>
          <w:rFonts w:ascii="Aptos" w:hAnsi="Aptos"/>
          <w:color w:val="172033"/>
          <w:sz w:val="20"/>
        </w:rPr>
        <w:t>Track containers from transit to port, inland transport, warehouse receipt and return.</w:t>
      </w:r>
    </w:p>
    <w:p>
      <w:pPr>
        <w:pStyle w:val="ListBullet"/>
        <w:spacing w:before="0" w:after="80" w:line="252" w:lineRule="auto"/>
      </w:pPr>
      <w:r>
        <w:rPr>
          <w:rFonts w:ascii="Aptos" w:hAnsi="Aptos"/>
          <w:color w:val="172033"/>
          <w:sz w:val="20"/>
        </w:rPr>
        <w:t>Manage operational payments and charges that belong to the import process.</w:t>
      </w:r>
    </w:p>
    <w:p>
      <w:pPr>
        <w:pStyle w:val="ListBullet"/>
        <w:spacing w:before="0" w:after="80" w:line="252" w:lineRule="auto"/>
      </w:pPr>
      <w:r>
        <w:rPr>
          <w:rFonts w:ascii="Aptos" w:hAnsi="Aptos"/>
          <w:color w:val="172033"/>
          <w:sz w:val="20"/>
        </w:rPr>
        <w:t>Keep discussions, assignments, evaluations, warnings and history attached to the order.</w:t>
      </w:r>
    </w:p>
    <w:p>
      <w:pPr>
        <w:pStyle w:val="ListBullet"/>
        <w:spacing w:before="0" w:after="80" w:line="252" w:lineRule="auto"/>
      </w:pPr>
      <w:r>
        <w:rPr>
          <w:rFonts w:ascii="Aptos" w:hAnsi="Aptos"/>
          <w:color w:val="172033"/>
          <w:sz w:val="20"/>
        </w:rPr>
        <w:t>Provide dashboards, process views, notifications and reports for operational control.</w:t>
      </w:r>
    </w:p>
    <w:p>
      <w:pPr>
        <w:pStyle w:val="Heading2"/>
        <w:keepNext/>
        <w:spacing w:before="120" w:after="100" w:line="240" w:lineRule="auto"/>
      </w:pPr>
      <w:r>
        <w:rPr>
          <w:rFonts w:ascii="Aptos" w:hAnsi="Aptos"/>
          <w:b/>
          <w:color w:val="2563EB"/>
          <w:sz w:val="27"/>
        </w:rPr>
        <w:t>System Boundary</w:t>
      </w:r>
    </w:p>
    <w:p>
      <w:pPr>
        <w:spacing w:before="0" w:after="140" w:line="269" w:lineRule="auto"/>
      </w:pPr>
      <w:r>
        <w:rPr>
          <w:rFonts w:ascii="Aptos" w:hAnsi="Aptos"/>
          <w:b w:val="0"/>
          <w:i w:val="0"/>
          <w:color w:val="172033"/>
          <w:sz w:val="21"/>
        </w:rPr>
        <w:t>ImportlyAI should normally coexist with the company’s financial and ERP environment. The accounting system remains the authoritative environment for general accounting, statutory books and broader financial control. ImportlyAI focuses on the operational truth of the import process: what has happened, what is expected, what is missing, what is late and who must act next.</w:t>
      </w:r>
    </w:p>
    <w:p>
      <w:pPr>
        <w:spacing w:before="0" w:after="140" w:line="269" w:lineRule="auto"/>
      </w:pPr>
      <w:r>
        <w:rPr>
          <w:rFonts w:ascii="Aptos" w:hAnsi="Aptos"/>
          <w:b w:val="0"/>
          <w:i w:val="0"/>
          <w:color w:val="172033"/>
          <w:sz w:val="21"/>
        </w:rPr>
        <w:t>Where useful, the two environments can later exchange approved transactions, costs, supplier data, item data, payment references or other information through structured integration.</w:t>
      </w:r>
    </w:p>
    <w:p>
      <w:pPr>
        <w:pStyle w:val="Heading1"/>
        <w:keepNext/>
        <w:spacing w:before="200" w:after="100" w:line="240" w:lineRule="auto"/>
      </w:pPr>
      <w:r>
        <w:rPr>
          <w:rFonts w:ascii="Aptos" w:hAnsi="Aptos"/>
          <w:b/>
          <w:color w:val="0F2744"/>
          <w:sz w:val="38"/>
        </w:rPr>
        <w:t>2. Starting with ImportlyAI</w:t>
      </w:r>
    </w:p>
    <w:p>
      <w:pPr>
        <w:spacing w:before="0" w:after="140" w:line="269" w:lineRule="auto"/>
      </w:pPr>
      <w:r>
        <w:rPr>
          <w:rFonts w:ascii="Aptos" w:hAnsi="Aptos"/>
          <w:b w:val="0"/>
          <w:i w:val="0"/>
          <w:color w:val="172033"/>
          <w:sz w:val="21"/>
        </w:rPr>
        <w:t>A company can start gradually. It does not need to model every historical process before creating the first import order. The essential starting point is a reliable set of master data for the parties and items used in current imports.</w:t>
      </w:r>
    </w:p>
    <w:p>
      <w:pPr>
        <w:pStyle w:val="Heading2"/>
        <w:keepNext/>
        <w:spacing w:before="120" w:after="100" w:line="240" w:lineRule="auto"/>
      </w:pPr>
      <w:r>
        <w:rPr>
          <w:rFonts w:ascii="Aptos" w:hAnsi="Aptos"/>
          <w:b/>
          <w:color w:val="2563EB"/>
          <w:sz w:val="27"/>
        </w:rPr>
        <w:t>Core Master Data</w:t>
      </w:r>
    </w:p>
    <w:p>
      <w:pPr>
        <w:pStyle w:val="ListBullet"/>
        <w:spacing w:before="0" w:after="80" w:line="252" w:lineRule="auto"/>
      </w:pPr>
      <w:r>
        <w:rPr>
          <w:rFonts w:ascii="Aptos" w:hAnsi="Aptos"/>
          <w:color w:val="172033"/>
          <w:sz w:val="20"/>
        </w:rPr>
        <w:t>Suppliers and other relevant contacts.</w:t>
      </w:r>
    </w:p>
    <w:p>
      <w:pPr>
        <w:pStyle w:val="ListBullet"/>
        <w:spacing w:before="0" w:after="80" w:line="252" w:lineRule="auto"/>
      </w:pPr>
      <w:r>
        <w:rPr>
          <w:rFonts w:ascii="Aptos" w:hAnsi="Aptos"/>
          <w:color w:val="172033"/>
          <w:sz w:val="20"/>
        </w:rPr>
        <w:t>Imported items and their customs-relevant identity.</w:t>
      </w:r>
    </w:p>
    <w:p>
      <w:pPr>
        <w:pStyle w:val="ListBullet"/>
        <w:spacing w:before="0" w:after="80" w:line="252" w:lineRule="auto"/>
      </w:pPr>
      <w:r>
        <w:rPr>
          <w:rFonts w:ascii="Aptos" w:hAnsi="Aptos"/>
          <w:color w:val="172033"/>
          <w:sz w:val="20"/>
        </w:rPr>
        <w:t>Warehouses and common destinations.</w:t>
      </w:r>
    </w:p>
    <w:p>
      <w:pPr>
        <w:pStyle w:val="ListBullet"/>
        <w:spacing w:before="0" w:after="80" w:line="252" w:lineRule="auto"/>
      </w:pPr>
      <w:r>
        <w:rPr>
          <w:rFonts w:ascii="Aptos" w:hAnsi="Aptos"/>
          <w:color w:val="172033"/>
          <w:sz w:val="20"/>
        </w:rPr>
        <w:t>Freight forwarders and shipping lines.</w:t>
      </w:r>
    </w:p>
    <w:p>
      <w:pPr>
        <w:pStyle w:val="ListBullet"/>
        <w:spacing w:before="0" w:after="80" w:line="252" w:lineRule="auto"/>
      </w:pPr>
      <w:r>
        <w:rPr>
          <w:rFonts w:ascii="Aptos" w:hAnsi="Aptos"/>
          <w:color w:val="172033"/>
          <w:sz w:val="20"/>
        </w:rPr>
        <w:t>Customs agents / brokers.</w:t>
      </w:r>
    </w:p>
    <w:p>
      <w:pPr>
        <w:pStyle w:val="ListBullet"/>
        <w:spacing w:before="0" w:after="80" w:line="252" w:lineRule="auto"/>
      </w:pPr>
      <w:r>
        <w:rPr>
          <w:rFonts w:ascii="Aptos" w:hAnsi="Aptos"/>
          <w:color w:val="172033"/>
          <w:sz w:val="20"/>
        </w:rPr>
        <w:t>Inland shippers and other logistics providers.</w:t>
      </w:r>
    </w:p>
    <w:p>
      <w:pPr>
        <w:pStyle w:val="ListBullet"/>
        <w:spacing w:before="0" w:after="80" w:line="252" w:lineRule="auto"/>
      </w:pPr>
      <w:r>
        <w:rPr>
          <w:rFonts w:ascii="Aptos" w:hAnsi="Aptos"/>
          <w:color w:val="172033"/>
          <w:sz w:val="20"/>
        </w:rPr>
        <w:t>Currencies, default order settings and company customs profiles.</w:t>
      </w:r>
    </w:p>
    <w:p>
      <w:pPr>
        <w:pStyle w:val="ListBullet"/>
        <w:spacing w:before="0" w:after="80" w:line="252" w:lineRule="auto"/>
      </w:pPr>
      <w:r>
        <w:rPr>
          <w:rFonts w:ascii="Aptos" w:hAnsi="Aptos"/>
          <w:color w:val="172033"/>
          <w:sz w:val="20"/>
        </w:rPr>
        <w:t>Users, permission groups and order-visibility rules.</w:t>
      </w:r>
    </w:p>
    <w:p>
      <w:pPr>
        <w:pStyle w:val="Heading2"/>
        <w:keepNext/>
        <w:spacing w:before="120" w:after="100" w:line="240" w:lineRule="auto"/>
      </w:pPr>
      <w:r>
        <w:rPr>
          <w:rFonts w:ascii="Aptos" w:hAnsi="Aptos"/>
          <w:b/>
          <w:color w:val="2563EB"/>
          <w:sz w:val="27"/>
        </w:rPr>
        <w:t>Importing Existing Lists</w:t>
      </w:r>
    </w:p>
    <w:p>
      <w:pPr>
        <w:spacing w:before="0" w:after="140" w:line="269" w:lineRule="auto"/>
      </w:pPr>
      <w:r>
        <w:rPr>
          <w:rFonts w:ascii="Aptos" w:hAnsi="Aptos"/>
          <w:b w:val="0"/>
          <w:i w:val="0"/>
          <w:color w:val="172033"/>
          <w:sz w:val="21"/>
        </w:rPr>
        <w:t>Item and supplier lists can be prepared in Excel and imported as an initial data-loading exercise, while new records can also be created individually as they are needed. This supports both large initial migrations and a more gradual rollout.</w:t>
      </w:r>
    </w:p>
    <w:tbl>
      <w:tblPr>
        <w:tblW w:type="auto" w:w="0"/>
        <w:jc w:val="center"/>
        <w:tblLayout w:type="fixed"/>
        <w:tblLook w:firstColumn="1" w:firstRow="1" w:lastColumn="0" w:lastRow="0" w:noHBand="0" w:noVBand="1" w:val="04A0"/>
      </w:tblPr>
      <w:tblGrid>
        <w:gridCol w:w="173"/>
        <w:gridCol w:w="10008"/>
      </w:tblGrid>
      <w:tr>
        <w:tc>
          <w:tcPr>
            <w:tcW w:type="dxa" w:w="4997"/>
            <w:shd w:fill="B45309"/>
            <w:tcMar>
              <w:top w:w="80" w:type="dxa"/>
              <w:start w:w="20" w:type="dxa"/>
              <w:bottom w:w="80" w:type="dxa"/>
              <w:end w:w="20" w:type="dxa"/>
            </w:tcMar>
            <w:tcBorders>
              <w:top w:val="nil"/>
              <w:left w:val="nil"/>
              <w:bottom w:val="nil"/>
              <w:right w:val="nil"/>
            </w:tcBorders>
          </w:tcPr>
          <w:p/>
        </w:tc>
        <w:tc>
          <w:tcPr>
            <w:tcW w:type="dxa" w:w="4997"/>
            <w:shd w:fill="FFF7ED"/>
            <w:tcMar>
              <w:top w:w="130" w:type="dxa"/>
              <w:start w:w="180" w:type="dxa"/>
              <w:bottom w:w="130" w:type="dxa"/>
              <w:end w:w="180" w:type="dxa"/>
            </w:tcMar>
            <w:tcBorders>
              <w:top w:val="nil"/>
              <w:left w:val="nil"/>
              <w:bottom w:val="nil"/>
              <w:right w:val="nil"/>
            </w:tcBorders>
          </w:tcPr>
          <w:p>
            <w:pPr>
              <w:spacing w:before="0" w:after="60" w:line="259" w:lineRule="auto"/>
            </w:pPr>
            <w:r>
              <w:rPr>
                <w:rFonts w:ascii="Aptos" w:hAnsi="Aptos"/>
                <w:b/>
                <w:i w:val="0"/>
                <w:color w:val="0F2744"/>
                <w:sz w:val="21"/>
              </w:rPr>
              <w:t>Item granularity rule</w:t>
            </w:r>
          </w:p>
          <w:p>
            <w:pPr>
              <w:spacing w:before="0" w:after="0" w:line="259" w:lineRule="auto"/>
            </w:pPr>
            <w:r>
              <w:rPr>
                <w:rFonts w:ascii="Aptos" w:hAnsi="Aptos"/>
                <w:b w:val="0"/>
                <w:i w:val="0"/>
                <w:color w:val="172033"/>
                <w:sz w:val="19"/>
              </w:rPr>
              <w:t>An item may be described in more or less commercial detail depending on the company’s needs, but products that require different customs classifications should be maintained as separate item records. Customs classification is a key operational attribute because it may affect documents, procedures, duties, taxes and review requirements.</w:t>
            </w:r>
          </w:p>
        </w:tc>
      </w:tr>
    </w:tbl>
    <w:p>
      <w:pPr>
        <w:spacing w:after="20"/>
      </w:pPr>
    </w:p>
    <w:p>
      <w:pPr>
        <w:pStyle w:val="Heading1"/>
        <w:keepNext/>
        <w:spacing w:before="200" w:after="100" w:line="240" w:lineRule="auto"/>
      </w:pPr>
      <w:r>
        <w:rPr>
          <w:rFonts w:ascii="Aptos" w:hAnsi="Aptos"/>
          <w:b/>
          <w:color w:val="0F2744"/>
          <w:sz w:val="38"/>
        </w:rPr>
        <w:t>3. The Import Order as the Operating Record</w:t>
      </w:r>
    </w:p>
    <w:p>
      <w:pPr>
        <w:spacing w:before="0" w:after="140" w:line="269" w:lineRule="auto"/>
      </w:pPr>
      <w:r>
        <w:rPr>
          <w:rFonts w:ascii="Aptos" w:hAnsi="Aptos"/>
          <w:b w:val="0"/>
          <w:i w:val="0"/>
          <w:color w:val="172033"/>
          <w:sz w:val="21"/>
        </w:rPr>
        <w:t>Each import order becomes the central record around which the operational process is organized. Instead of treating shipping, customs, containers, documents and communications as separate files, ImportlyAI relates them back to the same order.</w:t>
      </w:r>
    </w:p>
    <w:p>
      <w:pPr>
        <w:pStyle w:val="Heading2"/>
        <w:keepNext/>
        <w:spacing w:before="120" w:after="100" w:line="240" w:lineRule="auto"/>
      </w:pPr>
      <w:r>
        <w:rPr>
          <w:rFonts w:ascii="Aptos" w:hAnsi="Aptos"/>
          <w:b/>
          <w:color w:val="2563EB"/>
          <w:sz w:val="27"/>
        </w:rPr>
        <w:t>Typical Order Information</w:t>
      </w:r>
    </w:p>
    <w:tbl>
      <w:tblPr>
        <w:tblW w:type="auto" w:w="0"/>
        <w:jc w:val="center"/>
        <w:tblLayout w:type="fixed"/>
        <w:tblLook w:firstColumn="1" w:firstRow="1" w:lastColumn="0" w:lastRow="0" w:noHBand="0" w:noVBand="1" w:val="04A0"/>
      </w:tblPr>
      <w:tblGrid>
        <w:gridCol w:w="4997"/>
        <w:gridCol w:w="4997"/>
      </w:tblGrid>
      <w:tr>
        <w:trPr>
          <w:tblHeader w:val="true"/>
          <w:cantSplit/>
        </w:trPr>
        <w:tc>
          <w:tcPr>
            <w:tcW w:type="dxa" w:w="2088"/>
            <w:shd w:fill="0F2744"/>
            <w:vAlign w:val="center"/>
            <w:tcMar>
              <w:top w:w="90" w:type="dxa"/>
              <w:start w:w="90" w:type="dxa"/>
              <w:bottom w:w="90" w:type="dxa"/>
              <w:end w:w="90" w:type="dxa"/>
            </w:tcMar>
          </w:tcPr>
          <w:p>
            <w:pPr>
              <w:spacing w:before="0" w:after="0" w:line="259" w:lineRule="auto"/>
              <w:jc w:val="left"/>
            </w:pPr>
            <w:r>
              <w:rPr>
                <w:rFonts w:ascii="Aptos" w:hAnsi="Aptos"/>
                <w:b/>
                <w:i w:val="0"/>
                <w:color w:val="FFFFFF"/>
                <w:sz w:val="17"/>
              </w:rPr>
              <w:t>Area</w:t>
            </w:r>
          </w:p>
        </w:tc>
        <w:tc>
          <w:tcPr>
            <w:tcW w:type="dxa" w:w="7848"/>
            <w:shd w:fill="0F2744"/>
            <w:vAlign w:val="center"/>
            <w:tcMar>
              <w:top w:w="90" w:type="dxa"/>
              <w:start w:w="90" w:type="dxa"/>
              <w:bottom w:w="90" w:type="dxa"/>
              <w:end w:w="90" w:type="dxa"/>
            </w:tcMar>
          </w:tcPr>
          <w:p>
            <w:pPr>
              <w:spacing w:before="0" w:after="0" w:line="259" w:lineRule="auto"/>
              <w:jc w:val="left"/>
            </w:pPr>
            <w:r>
              <w:rPr>
                <w:rFonts w:ascii="Aptos" w:hAnsi="Aptos"/>
                <w:b/>
                <w:i w:val="0"/>
                <w:color w:val="FFFFFF"/>
                <w:sz w:val="17"/>
              </w:rPr>
              <w:t>Examples of information maintained</w:t>
            </w:r>
          </w:p>
        </w:tc>
      </w:tr>
      <w:tr>
        <w:trPr>
          <w:cantSplit/>
        </w:trPr>
        <w:tc>
          <w:tcPr>
            <w:tcW w:type="dxa" w:w="2088"/>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General</w:t>
            </w:r>
          </w:p>
        </w:tc>
        <w:tc>
          <w:tcPr>
            <w:tcW w:type="dxa" w:w="7848"/>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Supplier, order reference, description, currency, Incoterm, origin, export country, ready date, loading/discharge/destination ports, ETA, warehouses, priority and container plan</w:t>
            </w:r>
          </w:p>
        </w:tc>
      </w:tr>
      <w:tr>
        <w:trPr>
          <w:cantSplit/>
        </w:trPr>
        <w:tc>
          <w:tcPr>
            <w:tcW w:type="dxa" w:w="2088"/>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Items</w:t>
            </w:r>
          </w:p>
        </w:tc>
        <w:tc>
          <w:tcPr>
            <w:tcW w:type="dxa" w:w="7848"/>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Item, quantity, unit price, customs-related item information and item-specific attachments</w:t>
            </w:r>
          </w:p>
        </w:tc>
      </w:tr>
      <w:tr>
        <w:trPr>
          <w:cantSplit/>
        </w:trPr>
        <w:tc>
          <w:tcPr>
            <w:tcW w:type="dxa" w:w="2088"/>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Containers</w:t>
            </w:r>
          </w:p>
        </w:tc>
        <w:tc>
          <w:tcPr>
            <w:tcW w:type="dxa" w:w="7848"/>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Container number/type, seal, weights, goods description, inland shipper, exit/arrival/return dates and warehouse</w:t>
            </w:r>
          </w:p>
        </w:tc>
      </w:tr>
      <w:tr>
        <w:trPr>
          <w:cantSplit/>
        </w:trPr>
        <w:tc>
          <w:tcPr>
            <w:tcW w:type="dxa" w:w="2088"/>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Shipping</w:t>
            </w:r>
          </w:p>
        </w:tc>
        <w:tc>
          <w:tcPr>
            <w:tcW w:type="dxa" w:w="7848"/>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Forwarder or shipping line, reference, booking/shipping date, departure, B/L, vessel, freight type, free days and direct/transshipment information</w:t>
            </w:r>
          </w:p>
        </w:tc>
      </w:tr>
      <w:tr>
        <w:trPr>
          <w:cantSplit/>
        </w:trPr>
        <w:tc>
          <w:tcPr>
            <w:tcW w:type="dxa" w:w="2088"/>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Customs</w:t>
            </w:r>
          </w:p>
        </w:tc>
        <w:tc>
          <w:tcPr>
            <w:tcW w:type="dxa" w:w="7848"/>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Customs agent, document-received/approved dates, customs file number, declaration number, payment date, clearance date, crossing and inland shipper</w:t>
            </w:r>
          </w:p>
        </w:tc>
      </w:tr>
      <w:tr>
        <w:trPr>
          <w:cantSplit/>
        </w:trPr>
        <w:tc>
          <w:tcPr>
            <w:tcW w:type="dxa" w:w="2088"/>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Documents</w:t>
            </w:r>
          </w:p>
        </w:tc>
        <w:tc>
          <w:tcPr>
            <w:tcW w:type="dxa" w:w="7848"/>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Required documents, received/review status, notes and attachments</w:t>
            </w:r>
          </w:p>
        </w:tc>
      </w:tr>
      <w:tr>
        <w:trPr>
          <w:cantSplit/>
        </w:trPr>
        <w:tc>
          <w:tcPr>
            <w:tcW w:type="dxa" w:w="2088"/>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Freight offers</w:t>
            </w:r>
          </w:p>
        </w:tc>
        <w:tc>
          <w:tcPr>
            <w:tcW w:type="dxa" w:w="7848"/>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Forwarder, offer validity, shipping line, ETD/ETA, transit time, free days, amount, currency, status, attachment and notes</w:t>
            </w:r>
          </w:p>
        </w:tc>
      </w:tr>
      <w:tr>
        <w:trPr>
          <w:cantSplit/>
        </w:trPr>
        <w:tc>
          <w:tcPr>
            <w:tcW w:type="dxa" w:w="2088"/>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Other charges</w:t>
            </w:r>
          </w:p>
        </w:tc>
        <w:tc>
          <w:tcPr>
            <w:tcW w:type="dxa" w:w="7848"/>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Charge type, amount, currency, date, note and attachment</w:t>
            </w:r>
          </w:p>
        </w:tc>
      </w:tr>
    </w:tbl>
    <w:p>
      <w:pPr>
        <w:spacing w:after="40"/>
      </w:pPr>
    </w:p>
    <w:p>
      <w:pPr>
        <w:pStyle w:val="Heading2"/>
        <w:keepNext/>
        <w:spacing w:before="120" w:after="100" w:line="240" w:lineRule="auto"/>
      </w:pPr>
      <w:r>
        <w:rPr>
          <w:rFonts w:ascii="Aptos" w:hAnsi="Aptos"/>
          <w:b/>
          <w:color w:val="2563EB"/>
          <w:sz w:val="27"/>
        </w:rPr>
        <w:t>First Order vs. Repeat Orders</w:t>
      </w:r>
    </w:p>
    <w:p>
      <w:pPr>
        <w:spacing w:before="0" w:after="140" w:line="269" w:lineRule="auto"/>
      </w:pPr>
      <w:r>
        <w:rPr>
          <w:rFonts w:ascii="Aptos" w:hAnsi="Aptos"/>
          <w:b w:val="0"/>
          <w:i w:val="0"/>
          <w:color w:val="172033"/>
          <w:sz w:val="21"/>
        </w:rPr>
        <w:t>The first order from a supplier or for a new combination of products normally requires more manual input. Repeat orders should require less. ImportlyAI can reuse structured knowledge from previous orders, and the product direction is to extend this further with automatic suggestions and AI-assisted extraction from commercial and logistics documents.</w:t>
      </w:r>
    </w:p>
    <w:p>
      <w:pPr>
        <w:pStyle w:val="Heading1"/>
        <w:keepNext/>
        <w:spacing w:before="200" w:after="100" w:line="240" w:lineRule="auto"/>
      </w:pPr>
      <w:r>
        <w:rPr>
          <w:rFonts w:ascii="Aptos" w:hAnsi="Aptos"/>
          <w:b/>
          <w:color w:val="0F2744"/>
          <w:sz w:val="38"/>
        </w:rPr>
        <w:t>4. The Import Order Lifecycle</w:t>
      </w:r>
    </w:p>
    <w:p>
      <w:pPr>
        <w:spacing w:before="0" w:after="140" w:line="269" w:lineRule="auto"/>
      </w:pPr>
      <w:r>
        <w:rPr>
          <w:rFonts w:ascii="Aptos" w:hAnsi="Aptos"/>
          <w:b w:val="0"/>
          <w:i w:val="0"/>
          <w:color w:val="172033"/>
          <w:sz w:val="21"/>
        </w:rPr>
        <w:t>The platform is designed to manage the order as a sequence of operational states rather than as a static record. The exact path depends on the Incoterm, supplier, product, route and customs requirements, but a common lifecycle can be summarized as follows.</w:t>
      </w:r>
    </w:p>
    <w:tbl>
      <w:tblPr>
        <w:tblW w:type="auto" w:w="0"/>
        <w:jc w:val="center"/>
        <w:tblLayout w:type="fixed"/>
        <w:tblLook w:firstColumn="1" w:firstRow="1" w:lastColumn="0" w:lastRow="0" w:noHBand="0" w:noVBand="1" w:val="04A0"/>
      </w:tblPr>
      <w:tblGrid>
        <w:gridCol w:w="3331"/>
        <w:gridCol w:w="3331"/>
        <w:gridCol w:w="3331"/>
      </w:tblGrid>
      <w:tr>
        <w:trPr>
          <w:tblHeader w:val="true"/>
          <w:cantSplit/>
        </w:trPr>
        <w:tc>
          <w:tcPr>
            <w:tcW w:type="dxa" w:w="792"/>
            <w:shd w:fill="0F2744"/>
            <w:vAlign w:val="center"/>
            <w:tcMar>
              <w:top w:w="90" w:type="dxa"/>
              <w:start w:w="90" w:type="dxa"/>
              <w:bottom w:w="90" w:type="dxa"/>
              <w:end w:w="90" w:type="dxa"/>
            </w:tcMar>
          </w:tcPr>
          <w:p>
            <w:pPr>
              <w:spacing w:before="0" w:after="0" w:line="259" w:lineRule="auto"/>
              <w:jc w:val="left"/>
            </w:pPr>
            <w:r>
              <w:rPr>
                <w:rFonts w:ascii="Aptos" w:hAnsi="Aptos"/>
                <w:b/>
                <w:i w:val="0"/>
                <w:color w:val="FFFFFF"/>
                <w:sz w:val="17"/>
              </w:rPr>
              <w:t>Step</w:t>
            </w:r>
          </w:p>
        </w:tc>
        <w:tc>
          <w:tcPr>
            <w:tcW w:type="dxa" w:w="2232"/>
            <w:shd w:fill="0F2744"/>
            <w:vAlign w:val="center"/>
            <w:tcMar>
              <w:top w:w="90" w:type="dxa"/>
              <w:start w:w="90" w:type="dxa"/>
              <w:bottom w:w="90" w:type="dxa"/>
              <w:end w:w="90" w:type="dxa"/>
            </w:tcMar>
          </w:tcPr>
          <w:p>
            <w:pPr>
              <w:spacing w:before="0" w:after="0" w:line="259" w:lineRule="auto"/>
              <w:jc w:val="left"/>
            </w:pPr>
            <w:r>
              <w:rPr>
                <w:rFonts w:ascii="Aptos" w:hAnsi="Aptos"/>
                <w:b/>
                <w:i w:val="0"/>
                <w:color w:val="FFFFFF"/>
                <w:sz w:val="17"/>
              </w:rPr>
              <w:t>Stage</w:t>
            </w:r>
          </w:p>
        </w:tc>
        <w:tc>
          <w:tcPr>
            <w:tcW w:type="dxa" w:w="6912"/>
            <w:shd w:fill="0F2744"/>
            <w:vAlign w:val="center"/>
            <w:tcMar>
              <w:top w:w="90" w:type="dxa"/>
              <w:start w:w="90" w:type="dxa"/>
              <w:bottom w:w="90" w:type="dxa"/>
              <w:end w:w="90" w:type="dxa"/>
            </w:tcMar>
          </w:tcPr>
          <w:p>
            <w:pPr>
              <w:spacing w:before="0" w:after="0" w:line="259" w:lineRule="auto"/>
              <w:jc w:val="left"/>
            </w:pPr>
            <w:r>
              <w:rPr>
                <w:rFonts w:ascii="Aptos" w:hAnsi="Aptos"/>
                <w:b/>
                <w:i w:val="0"/>
                <w:color w:val="FFFFFF"/>
                <w:sz w:val="17"/>
              </w:rPr>
              <w:t>Primary operational objective</w:t>
            </w:r>
          </w:p>
        </w:tc>
      </w:tr>
      <w:tr>
        <w:trPr>
          <w:cantSplit/>
        </w:trPr>
        <w:tc>
          <w:tcPr>
            <w:tcW w:type="dxa" w:w="792"/>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1</w:t>
            </w:r>
          </w:p>
        </w:tc>
        <w:tc>
          <w:tcPr>
            <w:tcW w:type="dxa" w:w="2232"/>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Order approved</w:t>
            </w:r>
          </w:p>
        </w:tc>
        <w:tc>
          <w:tcPr>
            <w:tcW w:type="dxa" w:w="6912"/>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Create the operational order; confirm supplier, items, commercial terms and planned containers.</w:t>
            </w:r>
          </w:p>
        </w:tc>
      </w:tr>
      <w:tr>
        <w:trPr>
          <w:cantSplit/>
        </w:trPr>
        <w:tc>
          <w:tcPr>
            <w:tcW w:type="dxa" w:w="792"/>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2</w:t>
            </w:r>
          </w:p>
        </w:tc>
        <w:tc>
          <w:tcPr>
            <w:tcW w:type="dxa" w:w="2232"/>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Customs readiness</w:t>
            </w:r>
          </w:p>
        </w:tc>
        <w:tc>
          <w:tcPr>
            <w:tcW w:type="dxa" w:w="6912"/>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Confirm classifications, procedures and required documents for the items.</w:t>
            </w:r>
          </w:p>
        </w:tc>
      </w:tr>
      <w:tr>
        <w:trPr>
          <w:cantSplit/>
        </w:trPr>
        <w:tc>
          <w:tcPr>
            <w:tcW w:type="dxa" w:w="792"/>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3</w:t>
            </w:r>
          </w:p>
        </w:tc>
        <w:tc>
          <w:tcPr>
            <w:tcW w:type="dxa" w:w="2232"/>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Supplier readiness</w:t>
            </w:r>
          </w:p>
        </w:tc>
        <w:tc>
          <w:tcPr>
            <w:tcW w:type="dxa" w:w="6912"/>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Track the goods-ready date and resolve changes before they create downstream delays.</w:t>
            </w:r>
          </w:p>
        </w:tc>
      </w:tr>
      <w:tr>
        <w:trPr>
          <w:cantSplit/>
        </w:trPr>
        <w:tc>
          <w:tcPr>
            <w:tcW w:type="dxa" w:w="792"/>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4</w:t>
            </w:r>
          </w:p>
        </w:tc>
        <w:tc>
          <w:tcPr>
            <w:tcW w:type="dxa" w:w="2232"/>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Freight decision</w:t>
            </w:r>
          </w:p>
        </w:tc>
        <w:tc>
          <w:tcPr>
            <w:tcW w:type="dxa" w:w="6912"/>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Collect and compare offers where the importer is responsible for freight; record the selected shipping arrangement.</w:t>
            </w:r>
          </w:p>
        </w:tc>
      </w:tr>
      <w:tr>
        <w:trPr>
          <w:cantSplit/>
        </w:trPr>
        <w:tc>
          <w:tcPr>
            <w:tcW w:type="dxa" w:w="792"/>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5</w:t>
            </w:r>
          </w:p>
        </w:tc>
        <w:tc>
          <w:tcPr>
            <w:tcW w:type="dxa" w:w="2232"/>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Document preparation</w:t>
            </w:r>
          </w:p>
        </w:tc>
        <w:tc>
          <w:tcPr>
            <w:tcW w:type="dxa" w:w="6912"/>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Track required commercial, transport and customs documents; review missing or incorrect information.</w:t>
            </w:r>
          </w:p>
        </w:tc>
      </w:tr>
      <w:tr>
        <w:trPr>
          <w:cantSplit/>
        </w:trPr>
        <w:tc>
          <w:tcPr>
            <w:tcW w:type="dxa" w:w="792"/>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6</w:t>
            </w:r>
          </w:p>
        </w:tc>
        <w:tc>
          <w:tcPr>
            <w:tcW w:type="dxa" w:w="2232"/>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Shipment departure</w:t>
            </w:r>
          </w:p>
        </w:tc>
        <w:tc>
          <w:tcPr>
            <w:tcW w:type="dxa" w:w="6912"/>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Record booking/shipping details, departure, B/L, vessel and expected arrival.</w:t>
            </w:r>
          </w:p>
        </w:tc>
      </w:tr>
      <w:tr>
        <w:trPr>
          <w:cantSplit/>
        </w:trPr>
        <w:tc>
          <w:tcPr>
            <w:tcW w:type="dxa" w:w="792"/>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7</w:t>
            </w:r>
          </w:p>
        </w:tc>
        <w:tc>
          <w:tcPr>
            <w:tcW w:type="dxa" w:w="2232"/>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Pre-arrival customs work</w:t>
            </w:r>
          </w:p>
        </w:tc>
        <w:tc>
          <w:tcPr>
            <w:tcW w:type="dxa" w:w="6912"/>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Complete file, declaration and payment activities needed for clearance.</w:t>
            </w:r>
          </w:p>
        </w:tc>
      </w:tr>
      <w:tr>
        <w:trPr>
          <w:cantSplit/>
        </w:trPr>
        <w:tc>
          <w:tcPr>
            <w:tcW w:type="dxa" w:w="792"/>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8</w:t>
            </w:r>
          </w:p>
        </w:tc>
        <w:tc>
          <w:tcPr>
            <w:tcW w:type="dxa" w:w="2232"/>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Port and inland movement</w:t>
            </w:r>
          </w:p>
        </w:tc>
        <w:tc>
          <w:tcPr>
            <w:tcW w:type="dxa" w:w="6912"/>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Track arrival, container release, inland shipper, exit from port and movement to company/warehouse.</w:t>
            </w:r>
          </w:p>
        </w:tc>
      </w:tr>
      <w:tr>
        <w:trPr>
          <w:cantSplit/>
        </w:trPr>
        <w:tc>
          <w:tcPr>
            <w:tcW w:type="dxa" w:w="792"/>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9</w:t>
            </w:r>
          </w:p>
        </w:tc>
        <w:tc>
          <w:tcPr>
            <w:tcW w:type="dxa" w:w="2232"/>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Receipt</w:t>
            </w:r>
          </w:p>
        </w:tc>
        <w:tc>
          <w:tcPr>
            <w:tcW w:type="dxa" w:w="6912"/>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Record arrival at the company/warehouse and reconcile the physical movement with the order.</w:t>
            </w:r>
          </w:p>
        </w:tc>
      </w:tr>
      <w:tr>
        <w:trPr>
          <w:cantSplit/>
        </w:trPr>
        <w:tc>
          <w:tcPr>
            <w:tcW w:type="dxa" w:w="792"/>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10</w:t>
            </w:r>
          </w:p>
        </w:tc>
        <w:tc>
          <w:tcPr>
            <w:tcW w:type="dxa" w:w="2232"/>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Container return</w:t>
            </w:r>
          </w:p>
        </w:tc>
        <w:tc>
          <w:tcPr>
            <w:tcW w:type="dxa" w:w="6912"/>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Monitor free time and ensure containers are returned before avoidable detention/demurrage exposure.</w:t>
            </w:r>
          </w:p>
        </w:tc>
      </w:tr>
      <w:tr>
        <w:trPr>
          <w:cantSplit/>
        </w:trPr>
        <w:tc>
          <w:tcPr>
            <w:tcW w:type="dxa" w:w="792"/>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11</w:t>
            </w:r>
          </w:p>
        </w:tc>
        <w:tc>
          <w:tcPr>
            <w:tcW w:type="dxa" w:w="2232"/>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Operational close and review</w:t>
            </w:r>
          </w:p>
        </w:tc>
        <w:tc>
          <w:tcPr>
            <w:tcW w:type="dxa" w:w="6912"/>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6"/>
              </w:rPr>
              <w:t>Complete charges/payments, preserve the activity record and evaluate issues or performance.</w:t>
            </w:r>
          </w:p>
        </w:tc>
      </w:tr>
    </w:tbl>
    <w:p>
      <w:pPr>
        <w:spacing w:after="40"/>
      </w:pPr>
    </w:p>
    <w:p>
      <w:pPr>
        <w:pStyle w:val="Heading2"/>
        <w:keepNext/>
        <w:spacing w:before="120" w:after="100" w:line="240" w:lineRule="auto"/>
      </w:pPr>
      <w:r>
        <w:rPr>
          <w:rFonts w:ascii="Aptos" w:hAnsi="Aptos"/>
          <w:b/>
          <w:color w:val="2563EB"/>
          <w:sz w:val="27"/>
        </w:rPr>
        <w:t>Continuous Alerts Rather Than Passive Records</w:t>
      </w:r>
    </w:p>
    <w:p>
      <w:pPr>
        <w:spacing w:before="0" w:after="140" w:line="269" w:lineRule="auto"/>
      </w:pPr>
      <w:r>
        <w:rPr>
          <w:rFonts w:ascii="Aptos" w:hAnsi="Aptos"/>
          <w:b w:val="0"/>
          <w:i w:val="0"/>
          <w:color w:val="172033"/>
          <w:sz w:val="21"/>
        </w:rPr>
        <w:t>The value of the lifecycle model is that the platform can identify which orders require attention. Notifications, process views, data-quality checks and deadlines allow users to work from exceptions instead of repeatedly opening every order to see whether something has changed.</w:t>
      </w:r>
    </w:p>
    <w:p>
      <w:pPr>
        <w:spacing w:before="0" w:after="140" w:line="269" w:lineRule="auto"/>
      </w:pPr>
      <w:r>
        <w:rPr>
          <w:rFonts w:ascii="Aptos" w:hAnsi="Aptos"/>
          <w:b w:val="0"/>
          <w:i w:val="0"/>
          <w:color w:val="172033"/>
          <w:sz w:val="21"/>
        </w:rPr>
        <w:t>As historical data becomes richer, the same structure can support smarter reminders: for example, prompting a supplier for an updated ready date, identifying a missing customs document earlier, warning that a container is approaching its free-time limit, or highlighting a repeated problem associated with a supplier or service provider.</w:t>
      </w:r>
    </w:p>
    <w:p>
      <w:pPr>
        <w:pStyle w:val="Heading1"/>
        <w:keepNext/>
        <w:spacing w:before="200" w:after="100" w:line="240" w:lineRule="auto"/>
      </w:pPr>
      <w:r>
        <w:rPr>
          <w:rFonts w:ascii="Aptos" w:hAnsi="Aptos"/>
          <w:b/>
          <w:color w:val="0F2744"/>
          <w:sz w:val="38"/>
        </w:rPr>
        <w:t>5. Customs Readiness and Item Approval</w:t>
      </w:r>
    </w:p>
    <w:p>
      <w:pPr>
        <w:spacing w:before="0" w:after="140" w:line="269" w:lineRule="auto"/>
      </w:pPr>
      <w:r>
        <w:rPr>
          <w:rFonts w:ascii="Aptos" w:hAnsi="Aptos"/>
          <w:b w:val="0"/>
          <w:i w:val="0"/>
          <w:color w:val="172033"/>
          <w:sz w:val="21"/>
        </w:rPr>
        <w:t>Import compliance often starts at the item level. A new product may require classification, a specific document, a permit, a certificate, a special customs procedure or simply confirmation that the ordinary procedure is sufficient.</w:t>
      </w:r>
    </w:p>
    <w:p>
      <w:pPr>
        <w:spacing w:before="0" w:after="140" w:line="269" w:lineRule="auto"/>
      </w:pPr>
      <w:r>
        <w:rPr>
          <w:rFonts w:ascii="Aptos" w:hAnsi="Aptos"/>
          <w:b w:val="0"/>
          <w:i w:val="0"/>
          <w:color w:val="172033"/>
          <w:sz w:val="21"/>
        </w:rPr>
        <w:t>In the current platform, item-related customs review can be recorded so that an order can be marked as having its customs items approved. The customs agent or an authorized company user can participate according to permissions. This gives the company a visible readiness signal before the order reaches the critical pre-arrival stage.</w:t>
      </w:r>
    </w:p>
    <w:p>
      <w:pPr>
        <w:pStyle w:val="Heading2"/>
        <w:keepNext/>
        <w:spacing w:before="120" w:after="100" w:line="240" w:lineRule="auto"/>
      </w:pPr>
      <w:r>
        <w:rPr>
          <w:rFonts w:ascii="Aptos" w:hAnsi="Aptos"/>
          <w:b/>
          <w:color w:val="2563EB"/>
          <w:sz w:val="27"/>
        </w:rPr>
        <w:t>Learning from Repetition</w:t>
      </w:r>
    </w:p>
    <w:p>
      <w:pPr>
        <w:spacing w:before="0" w:after="140" w:line="269" w:lineRule="auto"/>
      </w:pPr>
      <w:r>
        <w:rPr>
          <w:rFonts w:ascii="Aptos" w:hAnsi="Aptos"/>
          <w:b w:val="0"/>
          <w:i w:val="0"/>
          <w:color w:val="172033"/>
          <w:sz w:val="21"/>
        </w:rPr>
        <w:t>The intended operating model is progressive. When a product is imported for the first time, an experienced customs professional or authorized internal user reviews the item and its requirements. That approved knowledge should then become reusable context for future orders. A genuinely new item returns to human review; a repeated item can benefit from the prior decision, subject to changes in regulation, product specification or company policy.</w:t>
      </w:r>
    </w:p>
    <w:tbl>
      <w:tblPr>
        <w:tblW w:type="auto" w:w="0"/>
        <w:jc w:val="center"/>
        <w:tblLayout w:type="fixed"/>
        <w:tblLook w:firstColumn="1" w:firstRow="1" w:lastColumn="0" w:lastRow="0" w:noHBand="0" w:noVBand="1" w:val="04A0"/>
      </w:tblPr>
      <w:tblGrid>
        <w:gridCol w:w="173"/>
        <w:gridCol w:w="10008"/>
      </w:tblGrid>
      <w:tr>
        <w:tc>
          <w:tcPr>
            <w:tcW w:type="dxa" w:w="4997"/>
            <w:shd w:fill="2563EB"/>
            <w:tcMar>
              <w:top w:w="80" w:type="dxa"/>
              <w:start w:w="20" w:type="dxa"/>
              <w:bottom w:w="80" w:type="dxa"/>
              <w:end w:w="20" w:type="dxa"/>
            </w:tcMar>
            <w:tcBorders>
              <w:top w:val="nil"/>
              <w:left w:val="nil"/>
              <w:bottom w:val="nil"/>
              <w:right w:val="nil"/>
            </w:tcBorders>
          </w:tcPr>
          <w:p/>
        </w:tc>
        <w:tc>
          <w:tcPr>
            <w:tcW w:type="dxa" w:w="4997"/>
            <w:shd w:fill="F4F7FB"/>
            <w:tcMar>
              <w:top w:w="130" w:type="dxa"/>
              <w:start w:w="180" w:type="dxa"/>
              <w:bottom w:w="130" w:type="dxa"/>
              <w:end w:w="180" w:type="dxa"/>
            </w:tcMar>
            <w:tcBorders>
              <w:top w:val="nil"/>
              <w:left w:val="nil"/>
              <w:bottom w:val="nil"/>
              <w:right w:val="nil"/>
            </w:tcBorders>
          </w:tcPr>
          <w:p>
            <w:pPr>
              <w:spacing w:before="0" w:after="60" w:line="259" w:lineRule="auto"/>
            </w:pPr>
            <w:r>
              <w:rPr>
                <w:rFonts w:ascii="Aptos" w:hAnsi="Aptos"/>
                <w:b/>
                <w:i w:val="0"/>
                <w:color w:val="0F2744"/>
                <w:sz w:val="21"/>
              </w:rPr>
              <w:t>Human authority remains important</w:t>
            </w:r>
          </w:p>
          <w:p>
            <w:pPr>
              <w:spacing w:before="0" w:after="0" w:line="259" w:lineRule="auto"/>
            </w:pPr>
            <w:r>
              <w:rPr>
                <w:rFonts w:ascii="Aptos" w:hAnsi="Aptos"/>
                <w:b w:val="0"/>
                <w:i w:val="0"/>
                <w:color w:val="172033"/>
                <w:sz w:val="19"/>
              </w:rPr>
              <w:t>Customs requirements can change and classification may depend on product specifications and jurisdiction. AI and historical order data can assist the review, but the platform should preserve clear responsibility for the final professional decision.</w:t>
            </w:r>
          </w:p>
        </w:tc>
      </w:tr>
    </w:tbl>
    <w:p>
      <w:pPr>
        <w:spacing w:after="20"/>
      </w:pPr>
    </w:p>
    <w:p>
      <w:pPr>
        <w:pStyle w:val="Heading1"/>
        <w:keepNext/>
        <w:spacing w:before="200" w:after="100" w:line="240" w:lineRule="auto"/>
      </w:pPr>
      <w:r>
        <w:rPr>
          <w:rFonts w:ascii="Aptos" w:hAnsi="Aptos"/>
          <w:b/>
          <w:color w:val="0F2744"/>
          <w:sz w:val="38"/>
        </w:rPr>
        <w:t>6. Documents and Data Capture</w:t>
      </w:r>
    </w:p>
    <w:p>
      <w:pPr>
        <w:spacing w:before="0" w:after="140" w:line="269" w:lineRule="auto"/>
      </w:pPr>
      <w:r>
        <w:rPr>
          <w:rFonts w:ascii="Aptos" w:hAnsi="Aptos"/>
          <w:b w:val="0"/>
          <w:i w:val="0"/>
          <w:color w:val="172033"/>
          <w:sz w:val="21"/>
        </w:rPr>
        <w:t>Import execution depends on documents: commercial invoices, packing lists, certificates, transport documents, customs-related approvals and other records. ImportlyAI keeps required documents tied to the order and can track their status, notes and review progress.</w:t>
      </w:r>
    </w:p>
    <w:p>
      <w:pPr>
        <w:pStyle w:val="Heading2"/>
        <w:keepNext/>
        <w:spacing w:before="120" w:after="100" w:line="240" w:lineRule="auto"/>
      </w:pPr>
      <w:r>
        <w:rPr>
          <w:rFonts w:ascii="Aptos" w:hAnsi="Aptos"/>
          <w:b/>
          <w:color w:val="2563EB"/>
          <w:sz w:val="27"/>
        </w:rPr>
        <w:t>From Document Tracking to Document Intelligence</w:t>
      </w:r>
    </w:p>
    <w:p>
      <w:pPr>
        <w:spacing w:before="0" w:after="140" w:line="269" w:lineRule="auto"/>
      </w:pPr>
      <w:r>
        <w:rPr>
          <w:rFonts w:ascii="Aptos" w:hAnsi="Aptos"/>
          <w:b w:val="0"/>
          <w:i w:val="0"/>
          <w:color w:val="172033"/>
          <w:sz w:val="21"/>
        </w:rPr>
        <w:t>The next stage is not merely storing documents but understanding them. AI-assisted document reading can turn the order file into structured data and can reduce repeated manual entry.</w:t>
      </w:r>
    </w:p>
    <w:p>
      <w:pPr>
        <w:pStyle w:val="ListBullet"/>
        <w:spacing w:before="0" w:after="80" w:line="252" w:lineRule="auto"/>
      </w:pPr>
      <w:r>
        <w:rPr>
          <w:rFonts w:ascii="Aptos" w:hAnsi="Aptos"/>
          <w:color w:val="172033"/>
          <w:sz w:val="20"/>
        </w:rPr>
        <w:t>Read a bill of lading or other transport document and propose the B/L number, carrier, vessel, dates and container numbers.</w:t>
      </w:r>
    </w:p>
    <w:p>
      <w:pPr>
        <w:pStyle w:val="ListBullet"/>
        <w:spacing w:before="0" w:after="80" w:line="252" w:lineRule="auto"/>
      </w:pPr>
      <w:r>
        <w:rPr>
          <w:rFonts w:ascii="Aptos" w:hAnsi="Aptos"/>
          <w:color w:val="172033"/>
          <w:sz w:val="20"/>
        </w:rPr>
        <w:t>Extract container weights, seal numbers, freight/free-day information and other logistics fields when present.</w:t>
      </w:r>
    </w:p>
    <w:p>
      <w:pPr>
        <w:pStyle w:val="ListBullet"/>
        <w:spacing w:before="0" w:after="80" w:line="252" w:lineRule="auto"/>
      </w:pPr>
      <w:r>
        <w:rPr>
          <w:rFonts w:ascii="Aptos" w:hAnsi="Aptos"/>
          <w:color w:val="172033"/>
          <w:sz w:val="20"/>
        </w:rPr>
        <w:t>Compare document values with the order and flag conflicts instead of silently overwriting existing data.</w:t>
      </w:r>
    </w:p>
    <w:p>
      <w:pPr>
        <w:pStyle w:val="ListBullet"/>
        <w:spacing w:before="0" w:after="80" w:line="252" w:lineRule="auto"/>
      </w:pPr>
      <w:r>
        <w:rPr>
          <w:rFonts w:ascii="Aptos" w:hAnsi="Aptos"/>
          <w:color w:val="172033"/>
          <w:sz w:val="20"/>
        </w:rPr>
        <w:t>Identify missing information or missing required documents before the order reaches customs clearance.</w:t>
      </w:r>
    </w:p>
    <w:p>
      <w:pPr>
        <w:pStyle w:val="ListBullet"/>
        <w:spacing w:before="0" w:after="80" w:line="252" w:lineRule="auto"/>
      </w:pPr>
      <w:r>
        <w:rPr>
          <w:rFonts w:ascii="Aptos" w:hAnsi="Aptos"/>
          <w:color w:val="172033"/>
          <w:sz w:val="20"/>
        </w:rPr>
        <w:t>Present extracted values for user confirmation where the source is ambiguous or the field is operationally sensitive.</w:t>
      </w:r>
    </w:p>
    <w:p>
      <w:pPr>
        <w:pStyle w:val="Heading1"/>
        <w:keepNext/>
        <w:spacing w:before="200" w:after="100" w:line="240" w:lineRule="auto"/>
      </w:pPr>
      <w:r>
        <w:rPr>
          <w:rFonts w:ascii="Aptos" w:hAnsi="Aptos"/>
          <w:b/>
          <w:color w:val="0F2744"/>
          <w:sz w:val="38"/>
        </w:rPr>
        <w:t>7. Freight Offers and Shipping Management</w:t>
      </w:r>
    </w:p>
    <w:p>
      <w:pPr>
        <w:spacing w:before="0" w:after="140" w:line="269" w:lineRule="auto"/>
      </w:pPr>
      <w:r>
        <w:rPr>
          <w:rFonts w:ascii="Aptos" w:hAnsi="Aptos"/>
          <w:b w:val="0"/>
          <w:i w:val="0"/>
          <w:color w:val="172033"/>
          <w:sz w:val="21"/>
        </w:rPr>
        <w:t>Freight management is an important part of the platform because the timing and quality of the freight decision directly affect the import order. ImportlyAI can maintain multiple structured freight offers for an order, allowing the user to compare important commercial and operational elements rather than relying only on email attachments.</w:t>
      </w:r>
    </w:p>
    <w:p>
      <w:pPr>
        <w:pStyle w:val="Heading2"/>
        <w:keepNext/>
        <w:spacing w:before="120" w:after="100" w:line="240" w:lineRule="auto"/>
      </w:pPr>
      <w:r>
        <w:rPr>
          <w:rFonts w:ascii="Aptos" w:hAnsi="Aptos"/>
          <w:b/>
          <w:color w:val="2563EB"/>
          <w:sz w:val="27"/>
        </w:rPr>
        <w:t>Freight Offer Comparison</w:t>
      </w:r>
    </w:p>
    <w:p>
      <w:pPr>
        <w:pStyle w:val="ListBullet"/>
        <w:spacing w:before="0" w:after="40" w:line="252" w:lineRule="auto"/>
      </w:pPr>
      <w:r>
        <w:rPr>
          <w:rFonts w:ascii="Aptos" w:hAnsi="Aptos"/>
          <w:color w:val="172033"/>
          <w:sz w:val="20"/>
        </w:rPr>
        <w:t>Forwarder and shipping line.</w:t>
      </w:r>
    </w:p>
    <w:p>
      <w:pPr>
        <w:pStyle w:val="ListBullet"/>
        <w:spacing w:before="0" w:after="40" w:line="252" w:lineRule="auto"/>
      </w:pPr>
      <w:r>
        <w:rPr>
          <w:rFonts w:ascii="Aptos" w:hAnsi="Aptos"/>
          <w:color w:val="172033"/>
          <w:sz w:val="20"/>
        </w:rPr>
        <w:t>Offer date and validity.</w:t>
      </w:r>
    </w:p>
    <w:p>
      <w:pPr>
        <w:pStyle w:val="ListBullet"/>
        <w:spacing w:before="0" w:after="40" w:line="252" w:lineRule="auto"/>
      </w:pPr>
      <w:r>
        <w:rPr>
          <w:rFonts w:ascii="Aptos" w:hAnsi="Aptos"/>
          <w:color w:val="172033"/>
          <w:sz w:val="20"/>
        </w:rPr>
        <w:t>ETD and ETA.</w:t>
      </w:r>
    </w:p>
    <w:p>
      <w:pPr>
        <w:pStyle w:val="ListBullet"/>
        <w:spacing w:before="0" w:after="40" w:line="252" w:lineRule="auto"/>
      </w:pPr>
      <w:r>
        <w:rPr>
          <w:rFonts w:ascii="Aptos" w:hAnsi="Aptos"/>
          <w:color w:val="172033"/>
          <w:sz w:val="20"/>
        </w:rPr>
        <w:t>Transit days.</w:t>
      </w:r>
    </w:p>
    <w:p>
      <w:pPr>
        <w:pStyle w:val="ListBullet"/>
        <w:spacing w:before="0" w:after="40" w:line="252" w:lineRule="auto"/>
      </w:pPr>
      <w:r>
        <w:rPr>
          <w:rFonts w:ascii="Aptos" w:hAnsi="Aptos"/>
          <w:color w:val="172033"/>
          <w:sz w:val="20"/>
        </w:rPr>
        <w:t>Free days.</w:t>
      </w:r>
    </w:p>
    <w:p>
      <w:pPr>
        <w:pStyle w:val="ListBullet"/>
        <w:spacing w:before="0" w:after="40" w:line="252" w:lineRule="auto"/>
      </w:pPr>
      <w:r>
        <w:rPr>
          <w:rFonts w:ascii="Aptos" w:hAnsi="Aptos"/>
          <w:color w:val="172033"/>
          <w:sz w:val="20"/>
        </w:rPr>
        <w:t>Total amount and currency.</w:t>
      </w:r>
    </w:p>
    <w:p>
      <w:pPr>
        <w:pStyle w:val="ListBullet"/>
        <w:spacing w:before="0" w:after="40" w:line="252" w:lineRule="auto"/>
      </w:pPr>
      <w:r>
        <w:rPr>
          <w:rFonts w:ascii="Aptos" w:hAnsi="Aptos"/>
          <w:color w:val="172033"/>
          <w:sz w:val="20"/>
        </w:rPr>
        <w:t>Offer status, attachment and notes.</w:t>
      </w:r>
    </w:p>
    <w:p>
      <w:pPr>
        <w:spacing w:before="0" w:after="140" w:line="269" w:lineRule="auto"/>
      </w:pPr>
      <w:r>
        <w:rPr>
          <w:rFonts w:ascii="Aptos" w:hAnsi="Aptos"/>
          <w:b w:val="0"/>
          <w:i w:val="0"/>
          <w:color w:val="172033"/>
          <w:sz w:val="21"/>
        </w:rPr>
        <w:t>The future collaboration model can allow freight forwarders to submit offers through controlled access. The system can then allocate offers to the relevant orders, normalize key fields, compare them and present a recommendation or decision-support view to the responsible company user. Approval remains a company decision.</w:t>
      </w:r>
    </w:p>
    <w:p>
      <w:pPr>
        <w:pStyle w:val="Heading2"/>
        <w:keepNext/>
        <w:spacing w:before="120" w:after="100" w:line="240" w:lineRule="auto"/>
      </w:pPr>
      <w:r>
        <w:rPr>
          <w:rFonts w:ascii="Aptos" w:hAnsi="Aptos"/>
          <w:b/>
          <w:color w:val="2563EB"/>
          <w:sz w:val="27"/>
        </w:rPr>
        <w:t>Shipping Process</w:t>
      </w:r>
    </w:p>
    <w:p>
      <w:pPr>
        <w:spacing w:before="0" w:after="140" w:line="269" w:lineRule="auto"/>
      </w:pPr>
      <w:r>
        <w:rPr>
          <w:rFonts w:ascii="Aptos" w:hAnsi="Aptos"/>
          <w:b w:val="0"/>
          <w:i w:val="0"/>
          <w:color w:val="172033"/>
          <w:sz w:val="21"/>
        </w:rPr>
        <w:t>After a freight decision, shipping data moves through an operational process. The current platform supports staged shipping management for pending, booked, departed and at-port orders, with key dates and references visible to the responsible team. This creates a process-oriented work queue rather than a collection of disconnected shipment records.</w:t>
      </w:r>
    </w:p>
    <w:p>
      <w:pPr>
        <w:pStyle w:val="Heading1"/>
        <w:keepNext/>
        <w:spacing w:before="200" w:after="100" w:line="240" w:lineRule="auto"/>
      </w:pPr>
      <w:r>
        <w:rPr>
          <w:rFonts w:ascii="Aptos" w:hAnsi="Aptos"/>
          <w:b/>
          <w:color w:val="0F2744"/>
          <w:sz w:val="38"/>
        </w:rPr>
        <w:t>8. Customs Clearance and Payments</w:t>
      </w:r>
    </w:p>
    <w:p>
      <w:pPr>
        <w:spacing w:before="0" w:after="140" w:line="269" w:lineRule="auto"/>
      </w:pPr>
      <w:r>
        <w:rPr>
          <w:rFonts w:ascii="Aptos" w:hAnsi="Aptos"/>
          <w:b w:val="0"/>
          <w:i w:val="0"/>
          <w:color w:val="172033"/>
          <w:sz w:val="21"/>
        </w:rPr>
        <w:t>Customs work is managed as a staged process. The operational sequence can distinguish orders that are still pending preparation, ready for declaration/payment activity, paid but not yet cleared, and cleared. This makes the customs team’s workload visible and provides a basis for alerts and escalation.</w:t>
      </w:r>
    </w:p>
    <w:p>
      <w:pPr>
        <w:pStyle w:val="Heading2"/>
        <w:keepNext/>
        <w:spacing w:before="120" w:after="100" w:line="240" w:lineRule="auto"/>
      </w:pPr>
      <w:r>
        <w:rPr>
          <w:rFonts w:ascii="Aptos" w:hAnsi="Aptos"/>
          <w:b/>
          <w:color w:val="2563EB"/>
          <w:sz w:val="27"/>
        </w:rPr>
        <w:t>Typical Customs Milestones</w:t>
      </w:r>
    </w:p>
    <w:p>
      <w:pPr>
        <w:pStyle w:val="ListBullet"/>
        <w:spacing w:before="0" w:after="80" w:line="252" w:lineRule="auto"/>
      </w:pPr>
      <w:r>
        <w:rPr>
          <w:rFonts w:ascii="Aptos" w:hAnsi="Aptos"/>
          <w:color w:val="172033"/>
          <w:sz w:val="20"/>
        </w:rPr>
        <w:t>Assign or confirm the customs agent.</w:t>
      </w:r>
    </w:p>
    <w:p>
      <w:pPr>
        <w:pStyle w:val="ListBullet"/>
        <w:spacing w:before="0" w:after="80" w:line="252" w:lineRule="auto"/>
      </w:pPr>
      <w:r>
        <w:rPr>
          <w:rFonts w:ascii="Aptos" w:hAnsi="Aptos"/>
          <w:color w:val="172033"/>
          <w:sz w:val="20"/>
        </w:rPr>
        <w:t>Record receipt and approval of the customs documents.</w:t>
      </w:r>
    </w:p>
    <w:p>
      <w:pPr>
        <w:pStyle w:val="ListBullet"/>
        <w:spacing w:before="0" w:after="80" w:line="252" w:lineRule="auto"/>
      </w:pPr>
      <w:r>
        <w:rPr>
          <w:rFonts w:ascii="Aptos" w:hAnsi="Aptos"/>
          <w:color w:val="172033"/>
          <w:sz w:val="20"/>
        </w:rPr>
        <w:t>Assign the customs file number.</w:t>
      </w:r>
    </w:p>
    <w:p>
      <w:pPr>
        <w:pStyle w:val="ListBullet"/>
        <w:spacing w:before="0" w:after="80" w:line="252" w:lineRule="auto"/>
      </w:pPr>
      <w:r>
        <w:rPr>
          <w:rFonts w:ascii="Aptos" w:hAnsi="Aptos"/>
          <w:color w:val="172033"/>
          <w:sz w:val="20"/>
        </w:rPr>
        <w:t>Record the customs declaration number.</w:t>
      </w:r>
    </w:p>
    <w:p>
      <w:pPr>
        <w:pStyle w:val="ListBullet"/>
        <w:spacing w:before="0" w:after="80" w:line="252" w:lineRule="auto"/>
      </w:pPr>
      <w:r>
        <w:rPr>
          <w:rFonts w:ascii="Aptos" w:hAnsi="Aptos"/>
          <w:color w:val="172033"/>
          <w:sz w:val="20"/>
        </w:rPr>
        <w:t>Record customs payment.</w:t>
      </w:r>
    </w:p>
    <w:p>
      <w:pPr>
        <w:pStyle w:val="ListBullet"/>
        <w:spacing w:before="0" w:after="80" w:line="252" w:lineRule="auto"/>
      </w:pPr>
      <w:r>
        <w:rPr>
          <w:rFonts w:ascii="Aptos" w:hAnsi="Aptos"/>
          <w:color w:val="172033"/>
          <w:sz w:val="20"/>
        </w:rPr>
        <w:t>Record final clearance.</w:t>
      </w:r>
    </w:p>
    <w:p>
      <w:pPr>
        <w:pStyle w:val="ListBullet"/>
        <w:spacing w:before="0" w:after="80" w:line="252" w:lineRule="auto"/>
      </w:pPr>
      <w:r>
        <w:rPr>
          <w:rFonts w:ascii="Aptos" w:hAnsi="Aptos"/>
          <w:color w:val="172033"/>
          <w:sz w:val="20"/>
        </w:rPr>
        <w:t>Retain the history of important changes and stage transitions.</w:t>
      </w:r>
    </w:p>
    <w:p>
      <w:pPr>
        <w:pStyle w:val="Heading2"/>
        <w:keepNext/>
        <w:spacing w:before="120" w:after="100" w:line="240" w:lineRule="auto"/>
      </w:pPr>
      <w:r>
        <w:rPr>
          <w:rFonts w:ascii="Aptos" w:hAnsi="Aptos"/>
          <w:b/>
          <w:color w:val="2563EB"/>
          <w:sz w:val="27"/>
        </w:rPr>
        <w:t>Customs Payments</w:t>
      </w:r>
    </w:p>
    <w:p>
      <w:pPr>
        <w:spacing w:before="0" w:after="140" w:line="269" w:lineRule="auto"/>
      </w:pPr>
      <w:r>
        <w:rPr>
          <w:rFonts w:ascii="Aptos" w:hAnsi="Aptos"/>
          <w:b w:val="0"/>
          <w:i w:val="0"/>
          <w:color w:val="172033"/>
          <w:sz w:val="21"/>
        </w:rPr>
        <w:t>ImportlyAI includes a customs-payment workflow that can help group and manage payments associated with customs activity, including cases where payment is handled through an agent or directly. The operational record can then be reconciled with the company’s accounting process rather than being maintained only in informal notes.</w:t>
      </w:r>
    </w:p>
    <w:p>
      <w:pPr>
        <w:pStyle w:val="Heading1"/>
        <w:keepNext/>
        <w:spacing w:before="200" w:after="100" w:line="240" w:lineRule="auto"/>
      </w:pPr>
      <w:r>
        <w:rPr>
          <w:rFonts w:ascii="Aptos" w:hAnsi="Aptos"/>
          <w:b/>
          <w:color w:val="0F2744"/>
          <w:sz w:val="38"/>
        </w:rPr>
        <w:t>9. Container and Inland-Transport Management</w:t>
      </w:r>
    </w:p>
    <w:p>
      <w:pPr>
        <w:spacing w:before="0" w:after="140" w:line="269" w:lineRule="auto"/>
      </w:pPr>
      <w:r>
        <w:rPr>
          <w:rFonts w:ascii="Aptos" w:hAnsi="Aptos"/>
          <w:b w:val="0"/>
          <w:i w:val="0"/>
          <w:color w:val="172033"/>
          <w:sz w:val="21"/>
        </w:rPr>
        <w:t>A container remains operationally important after the vessel arrives. ImportlyAI therefore tracks containers as working logistics objects, not merely as text inside the shipping document.</w:t>
      </w:r>
    </w:p>
    <w:p>
      <w:pPr>
        <w:pStyle w:val="Heading2"/>
        <w:keepNext/>
        <w:spacing w:before="120" w:after="100" w:line="240" w:lineRule="auto"/>
      </w:pPr>
      <w:r>
        <w:rPr>
          <w:rFonts w:ascii="Aptos" w:hAnsi="Aptos"/>
          <w:b/>
          <w:color w:val="2563EB"/>
          <w:sz w:val="27"/>
        </w:rPr>
        <w:t>Container Stages</w:t>
      </w:r>
    </w:p>
    <w:tbl>
      <w:tblPr>
        <w:tblW w:type="auto" w:w="0"/>
        <w:jc w:val="center"/>
        <w:tblLayout w:type="fixed"/>
        <w:tblLook w:firstColumn="1" w:firstRow="1" w:lastColumn="0" w:lastRow="0" w:noHBand="0" w:noVBand="1" w:val="04A0"/>
      </w:tblPr>
      <w:tblGrid>
        <w:gridCol w:w="3331"/>
        <w:gridCol w:w="3331"/>
        <w:gridCol w:w="3331"/>
      </w:tblGrid>
      <w:tr>
        <w:trPr>
          <w:tblHeader w:val="true"/>
          <w:cantSplit/>
        </w:trPr>
        <w:tc>
          <w:tcPr>
            <w:tcW w:type="dxa" w:w="1440"/>
            <w:shd w:fill="0F2744"/>
            <w:vAlign w:val="center"/>
            <w:tcMar>
              <w:top w:w="90" w:type="dxa"/>
              <w:start w:w="90" w:type="dxa"/>
              <w:bottom w:w="90" w:type="dxa"/>
              <w:end w:w="90" w:type="dxa"/>
            </w:tcMar>
          </w:tcPr>
          <w:p>
            <w:pPr>
              <w:spacing w:before="0" w:after="0" w:line="259" w:lineRule="auto"/>
              <w:jc w:val="left"/>
            </w:pPr>
            <w:r>
              <w:rPr>
                <w:rFonts w:ascii="Aptos" w:hAnsi="Aptos"/>
                <w:b/>
                <w:i w:val="0"/>
                <w:color w:val="FFFFFF"/>
                <w:sz w:val="17"/>
              </w:rPr>
              <w:t>Stage</w:t>
            </w:r>
          </w:p>
        </w:tc>
        <w:tc>
          <w:tcPr>
            <w:tcW w:type="dxa" w:w="4680"/>
            <w:shd w:fill="0F2744"/>
            <w:vAlign w:val="center"/>
            <w:tcMar>
              <w:top w:w="90" w:type="dxa"/>
              <w:start w:w="90" w:type="dxa"/>
              <w:bottom w:w="90" w:type="dxa"/>
              <w:end w:w="90" w:type="dxa"/>
            </w:tcMar>
          </w:tcPr>
          <w:p>
            <w:pPr>
              <w:spacing w:before="0" w:after="0" w:line="259" w:lineRule="auto"/>
              <w:jc w:val="left"/>
            </w:pPr>
            <w:r>
              <w:rPr>
                <w:rFonts w:ascii="Aptos" w:hAnsi="Aptos"/>
                <w:b/>
                <w:i w:val="0"/>
                <w:color w:val="FFFFFF"/>
                <w:sz w:val="17"/>
              </w:rPr>
              <w:t>Operational meaning</w:t>
            </w:r>
          </w:p>
        </w:tc>
        <w:tc>
          <w:tcPr>
            <w:tcW w:type="dxa" w:w="3816"/>
            <w:shd w:fill="0F2744"/>
            <w:vAlign w:val="center"/>
            <w:tcMar>
              <w:top w:w="90" w:type="dxa"/>
              <w:start w:w="90" w:type="dxa"/>
              <w:bottom w:w="90" w:type="dxa"/>
              <w:end w:w="90" w:type="dxa"/>
            </w:tcMar>
          </w:tcPr>
          <w:p>
            <w:pPr>
              <w:spacing w:before="0" w:after="0" w:line="259" w:lineRule="auto"/>
              <w:jc w:val="left"/>
            </w:pPr>
            <w:r>
              <w:rPr>
                <w:rFonts w:ascii="Aptos" w:hAnsi="Aptos"/>
                <w:b/>
                <w:i w:val="0"/>
                <w:color w:val="FFFFFF"/>
                <w:sz w:val="17"/>
              </w:rPr>
              <w:t>Typical actions</w:t>
            </w:r>
          </w:p>
        </w:tc>
      </w:tr>
      <w:tr>
        <w:trPr>
          <w:cantSplit/>
        </w:trPr>
        <w:tc>
          <w:tcPr>
            <w:tcW w:type="dxa" w:w="1440"/>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In transit</w:t>
            </w:r>
          </w:p>
        </w:tc>
        <w:tc>
          <w:tcPr>
            <w:tcW w:type="dxa" w:w="4680"/>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The container is still moving toward the destination port</w:t>
            </w:r>
          </w:p>
        </w:tc>
        <w:tc>
          <w:tcPr>
            <w:tcW w:type="dxa" w:w="3816"/>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Monitor expected arrival and prepare customs/document work</w:t>
            </w:r>
          </w:p>
        </w:tc>
      </w:tr>
      <w:tr>
        <w:trPr>
          <w:cantSplit/>
        </w:trPr>
        <w:tc>
          <w:tcPr>
            <w:tcW w:type="dxa" w:w="1440"/>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At port</w:t>
            </w:r>
          </w:p>
        </w:tc>
        <w:tc>
          <w:tcPr>
            <w:tcW w:type="dxa" w:w="4680"/>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Arrival is recorded and the container is awaiting release / inland movement</w:t>
            </w:r>
          </w:p>
        </w:tc>
        <w:tc>
          <w:tcPr>
            <w:tcW w:type="dxa" w:w="3816"/>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Assign inland shipper, monitor clearance and free time</w:t>
            </w:r>
          </w:p>
        </w:tc>
      </w:tr>
      <w:tr>
        <w:trPr>
          <w:cantSplit/>
        </w:trPr>
        <w:tc>
          <w:tcPr>
            <w:tcW w:type="dxa" w:w="1440"/>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In trucks</w:t>
            </w:r>
          </w:p>
        </w:tc>
        <w:tc>
          <w:tcPr>
            <w:tcW w:type="dxa" w:w="4680"/>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The container has exited port with the inland carrier</w:t>
            </w:r>
          </w:p>
        </w:tc>
        <w:tc>
          <w:tcPr>
            <w:tcW w:type="dxa" w:w="3816"/>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Track movement to the company/warehouse</w:t>
            </w:r>
          </w:p>
        </w:tc>
      </w:tr>
      <w:tr>
        <w:trPr>
          <w:cantSplit/>
        </w:trPr>
        <w:tc>
          <w:tcPr>
            <w:tcW w:type="dxa" w:w="1440"/>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At company</w:t>
            </w:r>
          </w:p>
        </w:tc>
        <w:tc>
          <w:tcPr>
            <w:tcW w:type="dxa" w:w="4680"/>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The container has reached the receiving location</w:t>
            </w:r>
          </w:p>
        </w:tc>
        <w:tc>
          <w:tcPr>
            <w:tcW w:type="dxa" w:w="3816"/>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Record warehouse receipt and continue return monitoring</w:t>
            </w:r>
          </w:p>
        </w:tc>
      </w:tr>
      <w:tr>
        <w:trPr>
          <w:cantSplit/>
        </w:trPr>
        <w:tc>
          <w:tcPr>
            <w:tcW w:type="dxa" w:w="1440"/>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Returned</w:t>
            </w:r>
          </w:p>
        </w:tc>
        <w:tc>
          <w:tcPr>
            <w:tcW w:type="dxa" w:w="4680"/>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The empty/required container return is recorded</w:t>
            </w:r>
          </w:p>
        </w:tc>
        <w:tc>
          <w:tcPr>
            <w:tcW w:type="dxa" w:w="3816"/>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Close the return exposure and retain actual timing</w:t>
            </w:r>
          </w:p>
        </w:tc>
      </w:tr>
    </w:tbl>
    <w:p>
      <w:pPr>
        <w:spacing w:after="40"/>
      </w:pPr>
    </w:p>
    <w:p>
      <w:pPr>
        <w:pStyle w:val="Heading2"/>
        <w:keepNext/>
        <w:spacing w:before="120" w:after="100" w:line="240" w:lineRule="auto"/>
      </w:pPr>
      <w:r>
        <w:rPr>
          <w:rFonts w:ascii="Aptos" w:hAnsi="Aptos"/>
          <w:b/>
          <w:color w:val="2563EB"/>
          <w:sz w:val="27"/>
        </w:rPr>
        <w:t>Delay and Free-Time Control</w:t>
      </w:r>
    </w:p>
    <w:p>
      <w:pPr>
        <w:spacing w:before="0" w:after="140" w:line="269" w:lineRule="auto"/>
      </w:pPr>
      <w:r>
        <w:rPr>
          <w:rFonts w:ascii="Aptos" w:hAnsi="Aptos"/>
          <w:b w:val="0"/>
          <w:i w:val="0"/>
          <w:color w:val="172033"/>
          <w:sz w:val="21"/>
        </w:rPr>
        <w:t>A central operational risk is a container that has arrived but has not been returned within the allowed period. The platform can identify delayed containers based on arrival and free-day information and surface them through the container process and notifications. This helps the responsible users act before avoidable detention or related charges increase.</w:t>
      </w:r>
    </w:p>
    <w:p>
      <w:pPr>
        <w:pStyle w:val="Heading2"/>
        <w:keepNext/>
        <w:spacing w:before="120" w:after="100" w:line="240" w:lineRule="auto"/>
      </w:pPr>
      <w:r>
        <w:rPr>
          <w:rFonts w:ascii="Aptos" w:hAnsi="Aptos"/>
          <w:b/>
          <w:color w:val="2563EB"/>
          <w:sz w:val="27"/>
        </w:rPr>
        <w:t>Inland Shipper Agreements and Payments</w:t>
      </w:r>
    </w:p>
    <w:p>
      <w:pPr>
        <w:spacing w:before="0" w:after="140" w:line="269" w:lineRule="auto"/>
      </w:pPr>
      <w:r>
        <w:rPr>
          <w:rFonts w:ascii="Aptos" w:hAnsi="Aptos"/>
          <w:b w:val="0"/>
          <w:i w:val="0"/>
          <w:color w:val="172033"/>
          <w:sz w:val="21"/>
        </w:rPr>
        <w:t>The platform can maintain operational information needed for inland transport and can support truck-payment workflows. The broader direction is to connect agreed rates with actual container movements so that payable amounts can be calculated from the executed service and then transferred or reconciled with the financial system.</w:t>
      </w:r>
    </w:p>
    <w:p>
      <w:r>
        <w:br w:type="page"/>
      </w:r>
    </w:p>
    <w:p>
      <w:pPr>
        <w:pStyle w:val="Heading1"/>
        <w:keepNext/>
        <w:spacing w:before="200" w:after="100" w:line="240" w:lineRule="auto"/>
      </w:pPr>
      <w:r>
        <w:rPr>
          <w:rFonts w:ascii="Aptos" w:hAnsi="Aptos"/>
          <w:b/>
          <w:color w:val="0F2744"/>
          <w:sz w:val="38"/>
        </w:rPr>
        <w:t>10. Collaboration, Tasks and Operational Memory</w:t>
      </w:r>
    </w:p>
    <w:p>
      <w:pPr>
        <w:spacing w:before="0" w:after="140" w:line="269" w:lineRule="auto"/>
      </w:pPr>
      <w:r>
        <w:rPr>
          <w:rFonts w:ascii="Aptos" w:hAnsi="Aptos"/>
          <w:b w:val="0"/>
          <w:i w:val="0"/>
          <w:color w:val="172033"/>
          <w:sz w:val="21"/>
        </w:rPr>
        <w:t>Import orders generate decisions and exceptions that are difficult to reconstruct when communication is scattered. ImportlyAI keeps collaboration attached to the order so that the team can understand both the current state and the reasoning behind past actions.</w:t>
      </w:r>
    </w:p>
    <w:p>
      <w:pPr>
        <w:pStyle w:val="Heading2"/>
        <w:keepNext/>
        <w:spacing w:before="120" w:after="100" w:line="240" w:lineRule="auto"/>
      </w:pPr>
      <w:r>
        <w:rPr>
          <w:rFonts w:ascii="Aptos" w:hAnsi="Aptos"/>
          <w:b/>
          <w:color w:val="2563EB"/>
          <w:sz w:val="27"/>
        </w:rPr>
        <w:t>Discussion</w:t>
      </w:r>
    </w:p>
    <w:p>
      <w:pPr>
        <w:spacing w:before="0" w:after="140" w:line="269" w:lineRule="auto"/>
      </w:pPr>
      <w:r>
        <w:rPr>
          <w:rFonts w:ascii="Aptos" w:hAnsi="Aptos"/>
          <w:b w:val="0"/>
          <w:i w:val="0"/>
          <w:color w:val="172033"/>
          <w:sz w:val="21"/>
        </w:rPr>
        <w:t>Users can discuss an order from within its activity area, reply to messages and control who can see a discussion. This preserves context: a future reviewer can understand which order, event and decision the conversation related to.</w:t>
      </w:r>
    </w:p>
    <w:p>
      <w:pPr>
        <w:pStyle w:val="Heading2"/>
        <w:keepNext/>
        <w:spacing w:before="120" w:after="100" w:line="240" w:lineRule="auto"/>
      </w:pPr>
      <w:r>
        <w:rPr>
          <w:rFonts w:ascii="Aptos" w:hAnsi="Aptos"/>
          <w:b/>
          <w:color w:val="2563EB"/>
          <w:sz w:val="27"/>
        </w:rPr>
        <w:t>Assignments</w:t>
      </w:r>
    </w:p>
    <w:p>
      <w:pPr>
        <w:spacing w:before="0" w:after="140" w:line="269" w:lineRule="auto"/>
      </w:pPr>
      <w:r>
        <w:rPr>
          <w:rFonts w:ascii="Aptos" w:hAnsi="Aptos"/>
          <w:b w:val="0"/>
          <w:i w:val="0"/>
          <w:color w:val="172033"/>
          <w:sz w:val="21"/>
        </w:rPr>
        <w:t>Tasks can be assigned to users and followed until completion. Assignments can also appear in notifications and on the dashboard, allowing users to work from their open responsibilities rather than keeping separate personal lists.</w:t>
      </w:r>
    </w:p>
    <w:p>
      <w:pPr>
        <w:pStyle w:val="Heading2"/>
        <w:keepNext/>
        <w:spacing w:before="120" w:after="100" w:line="240" w:lineRule="auto"/>
      </w:pPr>
      <w:r>
        <w:rPr>
          <w:rFonts w:ascii="Aptos" w:hAnsi="Aptos"/>
          <w:b/>
          <w:color w:val="2563EB"/>
          <w:sz w:val="27"/>
        </w:rPr>
        <w:t>Evaluation</w:t>
      </w:r>
    </w:p>
    <w:p>
      <w:pPr>
        <w:spacing w:before="0" w:after="140" w:line="269" w:lineRule="auto"/>
      </w:pPr>
      <w:r>
        <w:rPr>
          <w:rFonts w:ascii="Aptos" w:hAnsi="Aptos"/>
          <w:b w:val="0"/>
          <w:i w:val="0"/>
          <w:color w:val="172033"/>
          <w:sz w:val="21"/>
        </w:rPr>
        <w:t>The platform includes supplier evaluation capabilities, allowing the company to record structured feedback such as quantity accuracy, packaging, product quality, readiness, communication and problem resolution. Over time, operational events can complement manual evaluations with evidence-based performance indicators.</w:t>
      </w:r>
    </w:p>
    <w:p>
      <w:pPr>
        <w:pStyle w:val="Heading2"/>
        <w:keepNext/>
        <w:spacing w:before="120" w:after="100" w:line="240" w:lineRule="auto"/>
      </w:pPr>
      <w:r>
        <w:rPr>
          <w:rFonts w:ascii="Aptos" w:hAnsi="Aptos"/>
          <w:b/>
          <w:color w:val="2563EB"/>
          <w:sz w:val="27"/>
        </w:rPr>
        <w:t>Warnings</w:t>
      </w:r>
    </w:p>
    <w:p>
      <w:pPr>
        <w:spacing w:before="0" w:after="140" w:line="269" w:lineRule="auto"/>
      </w:pPr>
      <w:r>
        <w:rPr>
          <w:rFonts w:ascii="Aptos" w:hAnsi="Aptos"/>
          <w:b w:val="0"/>
          <w:i w:val="0"/>
          <w:color w:val="172033"/>
          <w:sz w:val="21"/>
        </w:rPr>
        <w:t>A warning can record a significant supplier issue, required action or expiration. When the same supplier appears in a later order, the warning can help prevent the organization from repeating a known problem simply because the employee who originally experienced it is not involved in the new order.</w:t>
      </w:r>
    </w:p>
    <w:p>
      <w:pPr>
        <w:pStyle w:val="Heading2"/>
        <w:keepNext/>
        <w:spacing w:before="120" w:after="100" w:line="240" w:lineRule="auto"/>
      </w:pPr>
      <w:r>
        <w:rPr>
          <w:rFonts w:ascii="Aptos" w:hAnsi="Aptos"/>
          <w:b/>
          <w:color w:val="2563EB"/>
          <w:sz w:val="27"/>
        </w:rPr>
        <w:t>Activity History</w:t>
      </w:r>
    </w:p>
    <w:p>
      <w:pPr>
        <w:spacing w:before="0" w:after="140" w:line="269" w:lineRule="auto"/>
      </w:pPr>
      <w:r>
        <w:rPr>
          <w:rFonts w:ascii="Aptos" w:hAnsi="Aptos"/>
          <w:b w:val="0"/>
          <w:i w:val="0"/>
          <w:color w:val="172033"/>
          <w:sz w:val="21"/>
        </w:rPr>
        <w:t>Important order changes are recorded in an activity history with the user, time and change context. This creates an audit trail across general order information, shipping, customs, containers, documents, costs and process-stage actions.</w:t>
      </w:r>
    </w:p>
    <w:tbl>
      <w:tblPr>
        <w:tblW w:type="auto" w:w="0"/>
        <w:jc w:val="center"/>
        <w:tblLayout w:type="fixed"/>
        <w:tblLook w:firstColumn="1" w:firstRow="1" w:lastColumn="0" w:lastRow="0" w:noHBand="0" w:noVBand="1" w:val="04A0"/>
      </w:tblPr>
      <w:tblGrid>
        <w:gridCol w:w="173"/>
        <w:gridCol w:w="10008"/>
      </w:tblGrid>
      <w:tr>
        <w:tc>
          <w:tcPr>
            <w:tcW w:type="dxa" w:w="4997"/>
            <w:shd w:fill="0F766E"/>
            <w:tcMar>
              <w:top w:w="80" w:type="dxa"/>
              <w:start w:w="20" w:type="dxa"/>
              <w:bottom w:w="80" w:type="dxa"/>
              <w:end w:w="20" w:type="dxa"/>
            </w:tcMar>
            <w:tcBorders>
              <w:top w:val="nil"/>
              <w:left w:val="nil"/>
              <w:bottom w:val="nil"/>
              <w:right w:val="nil"/>
            </w:tcBorders>
          </w:tcPr>
          <w:p/>
        </w:tc>
        <w:tc>
          <w:tcPr>
            <w:tcW w:type="dxa" w:w="4997"/>
            <w:shd w:fill="EEF7F6"/>
            <w:tcMar>
              <w:top w:w="130" w:type="dxa"/>
              <w:start w:w="180" w:type="dxa"/>
              <w:bottom w:w="130" w:type="dxa"/>
              <w:end w:w="180" w:type="dxa"/>
            </w:tcMar>
            <w:tcBorders>
              <w:top w:val="nil"/>
              <w:left w:val="nil"/>
              <w:bottom w:val="nil"/>
              <w:right w:val="nil"/>
            </w:tcBorders>
          </w:tcPr>
          <w:p>
            <w:pPr>
              <w:spacing w:before="0" w:after="60" w:line="259" w:lineRule="auto"/>
            </w:pPr>
            <w:r>
              <w:rPr>
                <w:rFonts w:ascii="Aptos" w:hAnsi="Aptos"/>
                <w:b/>
                <w:i w:val="0"/>
                <w:color w:val="0F2744"/>
                <w:sz w:val="21"/>
              </w:rPr>
              <w:t>Operational memory</w:t>
            </w:r>
          </w:p>
          <w:p>
            <w:pPr>
              <w:spacing w:before="0" w:after="0" w:line="259" w:lineRule="auto"/>
            </w:pPr>
            <w:r>
              <w:rPr>
                <w:rFonts w:ascii="Aptos" w:hAnsi="Aptos"/>
                <w:b w:val="0"/>
                <w:i w:val="0"/>
                <w:color w:val="172033"/>
                <w:sz w:val="19"/>
              </w:rPr>
              <w:t>The goal is to convert individual experience into institutional knowledge. Discussions explain decisions, assignments show responsibility, evaluations capture performance, warnings preserve lessons, and the activity history shows what actually happened.</w:t>
            </w:r>
          </w:p>
        </w:tc>
      </w:tr>
    </w:tbl>
    <w:p>
      <w:pPr>
        <w:spacing w:after="20"/>
      </w:pPr>
    </w:p>
    <w:p>
      <w:pPr>
        <w:pStyle w:val="Heading1"/>
        <w:keepNext/>
        <w:spacing w:before="200" w:after="100" w:line="240" w:lineRule="auto"/>
      </w:pPr>
      <w:r>
        <w:rPr>
          <w:rFonts w:ascii="Aptos" w:hAnsi="Aptos"/>
          <w:b/>
          <w:color w:val="0F2744"/>
          <w:sz w:val="38"/>
        </w:rPr>
        <w:t>11. Access Control and External Participation</w:t>
      </w:r>
    </w:p>
    <w:p>
      <w:pPr>
        <w:spacing w:before="0" w:after="140" w:line="269" w:lineRule="auto"/>
      </w:pPr>
      <w:r>
        <w:rPr>
          <w:rFonts w:ascii="Aptos" w:hAnsi="Aptos"/>
          <w:b w:val="0"/>
          <w:i w:val="0"/>
          <w:color w:val="172033"/>
          <w:sz w:val="21"/>
        </w:rPr>
        <w:t>Import work requires collaboration, but collaboration should not mean unrestricted access. ImportlyAI is built around company users, permission groups, module/action permissions and order-visibility rules. Different users can therefore participate in the same operational environment without receiving the same level of control.</w:t>
      </w:r>
    </w:p>
    <w:p>
      <w:pPr>
        <w:pStyle w:val="Heading2"/>
        <w:keepNext/>
        <w:spacing w:before="120" w:after="100" w:line="240" w:lineRule="auto"/>
      </w:pPr>
      <w:r>
        <w:rPr>
          <w:rFonts w:ascii="Aptos" w:hAnsi="Aptos"/>
          <w:b/>
          <w:color w:val="2563EB"/>
          <w:sz w:val="27"/>
        </w:rPr>
        <w:t>Internal Users</w:t>
      </w:r>
    </w:p>
    <w:p>
      <w:pPr>
        <w:spacing w:before="0" w:after="140" w:line="269" w:lineRule="auto"/>
      </w:pPr>
      <w:r>
        <w:rPr>
          <w:rFonts w:ascii="Aptos" w:hAnsi="Aptos"/>
          <w:b w:val="0"/>
          <w:i w:val="0"/>
          <w:color w:val="172033"/>
          <w:sz w:val="21"/>
        </w:rPr>
        <w:t>A company can add multiple users for purchasing, logistics, customs, finance, warehouse, management or audit purposes. Permissions can distinguish viewing from creating, editing, deleting, posting, exporting or managing particular areas.</w:t>
      </w:r>
    </w:p>
    <w:p>
      <w:pPr>
        <w:pStyle w:val="Heading2"/>
        <w:keepNext/>
        <w:spacing w:before="120" w:after="100" w:line="240" w:lineRule="auto"/>
      </w:pPr>
      <w:r>
        <w:rPr>
          <w:rFonts w:ascii="Aptos" w:hAnsi="Aptos"/>
          <w:b/>
          <w:color w:val="2563EB"/>
          <w:sz w:val="27"/>
        </w:rPr>
        <w:t>External Users - Intended Direction</w:t>
      </w:r>
    </w:p>
    <w:p>
      <w:pPr>
        <w:spacing w:before="0" w:after="140" w:line="269" w:lineRule="auto"/>
      </w:pPr>
      <w:r>
        <w:rPr>
          <w:rFonts w:ascii="Aptos" w:hAnsi="Aptos"/>
          <w:b w:val="0"/>
          <w:i w:val="0"/>
          <w:color w:val="172033"/>
          <w:sz w:val="21"/>
        </w:rPr>
        <w:t>The same permission model provides a basis for carefully adding external parties. This is a product direction rather than a statement that every external portal workflow is already complete.</w:t>
      </w:r>
    </w:p>
    <w:tbl>
      <w:tblPr>
        <w:tblW w:type="auto" w:w="0"/>
        <w:jc w:val="center"/>
        <w:tblLayout w:type="fixed"/>
        <w:tblLook w:firstColumn="1" w:firstRow="1" w:lastColumn="0" w:lastRow="0" w:noHBand="0" w:noVBand="1" w:val="04A0"/>
      </w:tblPr>
      <w:tblGrid>
        <w:gridCol w:w="4997"/>
        <w:gridCol w:w="4997"/>
      </w:tblGrid>
      <w:tr>
        <w:trPr>
          <w:tblHeader w:val="true"/>
          <w:cantSplit/>
        </w:trPr>
        <w:tc>
          <w:tcPr>
            <w:tcW w:type="dxa" w:w="2448"/>
            <w:shd w:fill="0F2744"/>
            <w:vAlign w:val="center"/>
            <w:tcMar>
              <w:top w:w="90" w:type="dxa"/>
              <w:start w:w="90" w:type="dxa"/>
              <w:bottom w:w="90" w:type="dxa"/>
              <w:end w:w="90" w:type="dxa"/>
            </w:tcMar>
          </w:tcPr>
          <w:p>
            <w:pPr>
              <w:spacing w:before="0" w:after="0" w:line="259" w:lineRule="auto"/>
              <w:jc w:val="left"/>
            </w:pPr>
            <w:r>
              <w:rPr>
                <w:rFonts w:ascii="Aptos" w:hAnsi="Aptos"/>
                <w:b/>
                <w:i w:val="0"/>
                <w:color w:val="FFFFFF"/>
                <w:sz w:val="17"/>
              </w:rPr>
              <w:t>External party</w:t>
            </w:r>
          </w:p>
        </w:tc>
        <w:tc>
          <w:tcPr>
            <w:tcW w:type="dxa" w:w="7488"/>
            <w:shd w:fill="0F2744"/>
            <w:vAlign w:val="center"/>
            <w:tcMar>
              <w:top w:w="90" w:type="dxa"/>
              <w:start w:w="90" w:type="dxa"/>
              <w:bottom w:w="90" w:type="dxa"/>
              <w:end w:w="90" w:type="dxa"/>
            </w:tcMar>
          </w:tcPr>
          <w:p>
            <w:pPr>
              <w:spacing w:before="0" w:after="0" w:line="259" w:lineRule="auto"/>
              <w:jc w:val="left"/>
            </w:pPr>
            <w:r>
              <w:rPr>
                <w:rFonts w:ascii="Aptos" w:hAnsi="Aptos"/>
                <w:b/>
                <w:i w:val="0"/>
                <w:color w:val="FFFFFF"/>
                <w:sz w:val="17"/>
              </w:rPr>
              <w:t>Potential controlled access</w:t>
            </w:r>
          </w:p>
        </w:tc>
      </w:tr>
      <w:tr>
        <w:trPr>
          <w:cantSplit/>
        </w:trPr>
        <w:tc>
          <w:tcPr>
            <w:tcW w:type="dxa" w:w="2448"/>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Customs agent</w:t>
            </w:r>
          </w:p>
        </w:tc>
        <w:tc>
          <w:tcPr>
            <w:tcW w:type="dxa" w:w="7488"/>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Assigned orders; customs review; required documents; customs milestones and relevant discussions</w:t>
            </w:r>
          </w:p>
        </w:tc>
      </w:tr>
      <w:tr>
        <w:trPr>
          <w:cantSplit/>
        </w:trPr>
        <w:tc>
          <w:tcPr>
            <w:tcW w:type="dxa" w:w="2448"/>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Supplier</w:t>
            </w:r>
          </w:p>
        </w:tc>
        <w:tc>
          <w:tcPr>
            <w:tcW w:type="dxa" w:w="7488"/>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Only its own orders; readiness dates; requested documents; questions/tasks and status updates</w:t>
            </w:r>
          </w:p>
        </w:tc>
      </w:tr>
      <w:tr>
        <w:trPr>
          <w:cantSplit/>
        </w:trPr>
        <w:tc>
          <w:tcPr>
            <w:tcW w:type="dxa" w:w="2448"/>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Freight forwarder</w:t>
            </w:r>
          </w:p>
        </w:tc>
        <w:tc>
          <w:tcPr>
            <w:tcW w:type="dxa" w:w="7488"/>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Requests for quotation; submission of freight offers; shipping details for awarded work</w:t>
            </w:r>
          </w:p>
        </w:tc>
      </w:tr>
      <w:tr>
        <w:trPr>
          <w:cantSplit/>
        </w:trPr>
        <w:tc>
          <w:tcPr>
            <w:tcW w:type="dxa" w:w="2448"/>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Inland carrier</w:t>
            </w:r>
          </w:p>
        </w:tc>
        <w:tc>
          <w:tcPr>
            <w:tcW w:type="dxa" w:w="7488"/>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Assigned container moves; movement dates; return information and relevant payment details</w:t>
            </w:r>
          </w:p>
        </w:tc>
      </w:tr>
      <w:tr>
        <w:trPr>
          <w:cantSplit/>
        </w:trPr>
        <w:tc>
          <w:tcPr>
            <w:tcW w:type="dxa" w:w="2448"/>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Auditor / management reviewer</w:t>
            </w:r>
          </w:p>
        </w:tc>
        <w:tc>
          <w:tcPr>
            <w:tcW w:type="dxa" w:w="7488"/>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Read-oriented access to selected orders, history, reports and exceptions</w:t>
            </w:r>
          </w:p>
        </w:tc>
      </w:tr>
    </w:tbl>
    <w:p>
      <w:pPr>
        <w:spacing w:after="40"/>
      </w:pPr>
    </w:p>
    <w:p>
      <w:pPr>
        <w:pStyle w:val="Heading1"/>
        <w:keepNext/>
        <w:spacing w:before="200" w:after="100" w:line="240" w:lineRule="auto"/>
      </w:pPr>
      <w:r>
        <w:rPr>
          <w:rFonts w:ascii="Aptos" w:hAnsi="Aptos"/>
          <w:b/>
          <w:color w:val="0F2744"/>
          <w:sz w:val="38"/>
        </w:rPr>
        <w:t>12. Reporting, Auditability and Management Control</w:t>
      </w:r>
    </w:p>
    <w:p>
      <w:pPr>
        <w:spacing w:before="0" w:after="140" w:line="269" w:lineRule="auto"/>
      </w:pPr>
      <w:r>
        <w:rPr>
          <w:rFonts w:ascii="Aptos" w:hAnsi="Aptos"/>
          <w:b w:val="0"/>
          <w:i w:val="0"/>
          <w:color w:val="172033"/>
          <w:sz w:val="21"/>
        </w:rPr>
        <w:t>The same data used for daily execution can provide management control without building a separate reporting process. ImportlyAI includes dashboards, operational process pages, quick search and reports for orders, containers and items.</w:t>
      </w:r>
    </w:p>
    <w:p>
      <w:pPr>
        <w:pStyle w:val="Heading2"/>
        <w:keepNext/>
        <w:spacing w:before="120" w:after="100" w:line="240" w:lineRule="auto"/>
      </w:pPr>
      <w:r>
        <w:rPr>
          <w:rFonts w:ascii="Aptos" w:hAnsi="Aptos"/>
          <w:b/>
          <w:color w:val="2563EB"/>
          <w:sz w:val="27"/>
        </w:rPr>
        <w:t>Examples of Management Questions</w:t>
      </w:r>
    </w:p>
    <w:p>
      <w:pPr>
        <w:pStyle w:val="ListBullet"/>
        <w:spacing w:before="0" w:after="80" w:line="252" w:lineRule="auto"/>
      </w:pPr>
      <w:r>
        <w:rPr>
          <w:rFonts w:ascii="Aptos" w:hAnsi="Aptos"/>
          <w:color w:val="172033"/>
          <w:sz w:val="20"/>
        </w:rPr>
        <w:t>Which import orders are expected to arrive in the coming weeks?</w:t>
      </w:r>
    </w:p>
    <w:p>
      <w:pPr>
        <w:pStyle w:val="ListBullet"/>
        <w:spacing w:before="0" w:after="80" w:line="252" w:lineRule="auto"/>
      </w:pPr>
      <w:r>
        <w:rPr>
          <w:rFonts w:ascii="Aptos" w:hAnsi="Aptos"/>
          <w:color w:val="172033"/>
          <w:sz w:val="20"/>
        </w:rPr>
        <w:t>Which orders are not customs-ready?</w:t>
      </w:r>
    </w:p>
    <w:p>
      <w:pPr>
        <w:pStyle w:val="ListBullet"/>
        <w:spacing w:before="0" w:after="80" w:line="252" w:lineRule="auto"/>
      </w:pPr>
      <w:r>
        <w:rPr>
          <w:rFonts w:ascii="Aptos" w:hAnsi="Aptos"/>
          <w:color w:val="172033"/>
          <w:sz w:val="20"/>
        </w:rPr>
        <w:t>Which containers are at port, in inland transport or at the company?</w:t>
      </w:r>
    </w:p>
    <w:p>
      <w:pPr>
        <w:pStyle w:val="ListBullet"/>
        <w:spacing w:before="0" w:after="80" w:line="252" w:lineRule="auto"/>
      </w:pPr>
      <w:r>
        <w:rPr>
          <w:rFonts w:ascii="Aptos" w:hAnsi="Aptos"/>
          <w:color w:val="172033"/>
          <w:sz w:val="20"/>
        </w:rPr>
        <w:t>Which containers are late for return?</w:t>
      </w:r>
    </w:p>
    <w:p>
      <w:pPr>
        <w:pStyle w:val="ListBullet"/>
        <w:spacing w:before="0" w:after="80" w:line="252" w:lineRule="auto"/>
      </w:pPr>
      <w:r>
        <w:rPr>
          <w:rFonts w:ascii="Aptos" w:hAnsi="Aptos"/>
          <w:color w:val="172033"/>
          <w:sz w:val="20"/>
        </w:rPr>
        <w:t>Which assignments are still open?</w:t>
      </w:r>
    </w:p>
    <w:p>
      <w:pPr>
        <w:pStyle w:val="ListBullet"/>
        <w:spacing w:before="0" w:after="80" w:line="252" w:lineRule="auto"/>
      </w:pPr>
      <w:r>
        <w:rPr>
          <w:rFonts w:ascii="Aptos" w:hAnsi="Aptos"/>
          <w:color w:val="172033"/>
          <w:sz w:val="20"/>
        </w:rPr>
        <w:t>Which orders have missing or unapproved documents?</w:t>
      </w:r>
    </w:p>
    <w:p>
      <w:pPr>
        <w:pStyle w:val="ListBullet"/>
        <w:spacing w:before="0" w:after="80" w:line="252" w:lineRule="auto"/>
      </w:pPr>
      <w:r>
        <w:rPr>
          <w:rFonts w:ascii="Aptos" w:hAnsi="Aptos"/>
          <w:color w:val="172033"/>
          <w:sz w:val="20"/>
        </w:rPr>
        <w:t>Which supplier, customs, shipping or inland-transport problems are recurring?</w:t>
      </w:r>
    </w:p>
    <w:p>
      <w:pPr>
        <w:pStyle w:val="ListBullet"/>
        <w:spacing w:before="0" w:after="80" w:line="252" w:lineRule="auto"/>
      </w:pPr>
      <w:r>
        <w:rPr>
          <w:rFonts w:ascii="Aptos" w:hAnsi="Aptos"/>
          <w:color w:val="172033"/>
          <w:sz w:val="20"/>
        </w:rPr>
        <w:t>What changed on a specific order, when and by whom?</w:t>
      </w:r>
    </w:p>
    <w:p>
      <w:pPr>
        <w:pStyle w:val="Heading2"/>
        <w:keepNext/>
        <w:spacing w:before="120" w:after="100" w:line="240" w:lineRule="auto"/>
      </w:pPr>
      <w:r>
        <w:rPr>
          <w:rFonts w:ascii="Aptos" w:hAnsi="Aptos"/>
          <w:b/>
          <w:color w:val="2563EB"/>
          <w:sz w:val="27"/>
        </w:rPr>
        <w:t>Audit and Senior Management</w:t>
      </w:r>
    </w:p>
    <w:p>
      <w:pPr>
        <w:spacing w:before="0" w:after="140" w:line="269" w:lineRule="auto"/>
      </w:pPr>
      <w:r>
        <w:rPr>
          <w:rFonts w:ascii="Aptos" w:hAnsi="Aptos"/>
          <w:b w:val="0"/>
          <w:i w:val="0"/>
          <w:color w:val="172033"/>
          <w:sz w:val="21"/>
        </w:rPr>
        <w:t>Senior management and audit users can use the activity trail and reports to reconstruct the operational sequence of an order. The objective is not surveillance for its own sake; it is accountability and process improvement. When an exception occurs, the organization should be able to identify where the process failed, whether the warning arrived in time and what should change next time.</w:t>
      </w:r>
    </w:p>
    <w:p>
      <w:pPr>
        <w:pStyle w:val="Heading1"/>
        <w:keepNext/>
        <w:spacing w:before="200" w:after="100" w:line="240" w:lineRule="auto"/>
      </w:pPr>
      <w:r>
        <w:rPr>
          <w:rFonts w:ascii="Aptos" w:hAnsi="Aptos"/>
          <w:b/>
          <w:color w:val="0F2744"/>
          <w:sz w:val="38"/>
        </w:rPr>
        <w:t>13. Costs, Landed Cost and Financial Integration</w:t>
      </w:r>
    </w:p>
    <w:p>
      <w:pPr>
        <w:spacing w:before="0" w:after="140" w:line="269" w:lineRule="auto"/>
      </w:pPr>
      <w:r>
        <w:rPr>
          <w:rFonts w:ascii="Aptos" w:hAnsi="Aptos"/>
          <w:b w:val="0"/>
          <w:i w:val="0"/>
          <w:color w:val="172033"/>
          <w:sz w:val="21"/>
        </w:rPr>
        <w:t>Import cost is created by several operational events: freight, customs duties and taxes, customs-agent charges, inland transport, port-related expenses and other order-level costs. ImportlyAI provides structures for customs rules, order charges and process payments so these costs can be connected to the operational order.</w:t>
      </w:r>
    </w:p>
    <w:p>
      <w:pPr>
        <w:spacing w:before="0" w:after="140" w:line="269" w:lineRule="auto"/>
      </w:pPr>
      <w:r>
        <w:rPr>
          <w:rFonts w:ascii="Aptos" w:hAnsi="Aptos"/>
          <w:b w:val="0"/>
          <w:i w:val="0"/>
          <w:color w:val="172033"/>
          <w:sz w:val="21"/>
        </w:rPr>
        <w:t>A key direction is to allocate relevant import costs across order items using company-defined rules, improving visibility into landed cost at the item level. Once operational costs are approved, they can be synchronized or transferred to the accounting/ERP environment rather than re-entered manually.</w:t>
      </w:r>
    </w:p>
    <w:p>
      <w:pPr>
        <w:pStyle w:val="Heading1"/>
        <w:keepNext/>
        <w:spacing w:before="200" w:after="100" w:line="240" w:lineRule="auto"/>
      </w:pPr>
      <w:r>
        <w:rPr>
          <w:rFonts w:ascii="Aptos" w:hAnsi="Aptos"/>
          <w:b/>
          <w:color w:val="0F2744"/>
          <w:sz w:val="38"/>
        </w:rPr>
        <w:t>14. AI and Automation Direction</w:t>
      </w:r>
    </w:p>
    <w:p>
      <w:pPr>
        <w:spacing w:before="0" w:after="140" w:line="269" w:lineRule="auto"/>
      </w:pPr>
      <w:r>
        <w:rPr>
          <w:rFonts w:ascii="Aptos" w:hAnsi="Aptos"/>
          <w:b w:val="0"/>
          <w:i w:val="0"/>
          <w:color w:val="172033"/>
          <w:sz w:val="21"/>
        </w:rPr>
        <w:t>The most important prerequisite for useful AI is not a chatbot. It is structured, trustworthy operational data. ImportlyAI is designed to create that foundation by connecting orders, items, documents, dates, service providers, activities, exceptions and outcomes.</w:t>
      </w:r>
    </w:p>
    <w:p>
      <w:pPr>
        <w:pStyle w:val="Heading2"/>
        <w:keepNext/>
        <w:spacing w:before="120" w:after="100" w:line="240" w:lineRule="auto"/>
      </w:pPr>
      <w:r>
        <w:rPr>
          <w:rFonts w:ascii="Aptos" w:hAnsi="Aptos"/>
          <w:b/>
          <w:color w:val="2563EB"/>
          <w:sz w:val="27"/>
        </w:rPr>
        <w:t>What AI Can Assist With</w:t>
      </w:r>
    </w:p>
    <w:tbl>
      <w:tblPr>
        <w:tblW w:type="auto" w:w="0"/>
        <w:jc w:val="center"/>
        <w:tblLayout w:type="fixed"/>
        <w:tblLook w:firstColumn="1" w:firstRow="1" w:lastColumn="0" w:lastRow="0" w:noHBand="0" w:noVBand="1" w:val="04A0"/>
      </w:tblPr>
      <w:tblGrid>
        <w:gridCol w:w="4997"/>
        <w:gridCol w:w="4997"/>
      </w:tblGrid>
      <w:tr>
        <w:trPr>
          <w:tblHeader w:val="true"/>
          <w:cantSplit/>
        </w:trPr>
        <w:tc>
          <w:tcPr>
            <w:tcW w:type="dxa" w:w="2664"/>
            <w:shd w:fill="0F2744"/>
            <w:vAlign w:val="center"/>
            <w:tcMar>
              <w:top w:w="90" w:type="dxa"/>
              <w:start w:w="90" w:type="dxa"/>
              <w:bottom w:w="90" w:type="dxa"/>
              <w:end w:w="90" w:type="dxa"/>
            </w:tcMar>
          </w:tcPr>
          <w:p>
            <w:pPr>
              <w:spacing w:before="0" w:after="0" w:line="259" w:lineRule="auto"/>
              <w:jc w:val="left"/>
            </w:pPr>
            <w:r>
              <w:rPr>
                <w:rFonts w:ascii="Aptos" w:hAnsi="Aptos"/>
                <w:b/>
                <w:i w:val="0"/>
                <w:color w:val="FFFFFF"/>
                <w:sz w:val="17"/>
              </w:rPr>
              <w:t>AI-assisted area</w:t>
            </w:r>
          </w:p>
        </w:tc>
        <w:tc>
          <w:tcPr>
            <w:tcW w:type="dxa" w:w="7272"/>
            <w:shd w:fill="0F2744"/>
            <w:vAlign w:val="center"/>
            <w:tcMar>
              <w:top w:w="90" w:type="dxa"/>
              <w:start w:w="90" w:type="dxa"/>
              <w:bottom w:w="90" w:type="dxa"/>
              <w:end w:w="90" w:type="dxa"/>
            </w:tcMar>
          </w:tcPr>
          <w:p>
            <w:pPr>
              <w:spacing w:before="0" w:after="0" w:line="259" w:lineRule="auto"/>
              <w:jc w:val="left"/>
            </w:pPr>
            <w:r>
              <w:rPr>
                <w:rFonts w:ascii="Aptos" w:hAnsi="Aptos"/>
                <w:b/>
                <w:i w:val="0"/>
                <w:color w:val="FFFFFF"/>
                <w:sz w:val="17"/>
              </w:rPr>
              <w:t>Practical role</w:t>
            </w:r>
          </w:p>
        </w:tc>
      </w:tr>
      <w:tr>
        <w:trPr>
          <w:cantSplit/>
        </w:trPr>
        <w:tc>
          <w:tcPr>
            <w:tcW w:type="dxa" w:w="2664"/>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Order creation</w:t>
            </w:r>
          </w:p>
        </w:tc>
        <w:tc>
          <w:tcPr>
            <w:tcW w:type="dxa" w:w="7272"/>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Extract or propose order fields from purchase orders, pro-forma invoices or supplier documents</w:t>
            </w:r>
          </w:p>
        </w:tc>
      </w:tr>
      <w:tr>
        <w:trPr>
          <w:cantSplit/>
        </w:trPr>
        <w:tc>
          <w:tcPr>
            <w:tcW w:type="dxa" w:w="2664"/>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Repeat-order completion</w:t>
            </w:r>
          </w:p>
        </w:tc>
        <w:tc>
          <w:tcPr>
            <w:tcW w:type="dxa" w:w="7272"/>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Suggest values based on the supplier, item and prior order history</w:t>
            </w:r>
          </w:p>
        </w:tc>
      </w:tr>
      <w:tr>
        <w:trPr>
          <w:cantSplit/>
        </w:trPr>
        <w:tc>
          <w:tcPr>
            <w:tcW w:type="dxa" w:w="2664"/>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Document reading</w:t>
            </w:r>
          </w:p>
        </w:tc>
        <w:tc>
          <w:tcPr>
            <w:tcW w:type="dxa" w:w="7272"/>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Extract key values and propose updates to shipping, customs and container records</w:t>
            </w:r>
          </w:p>
        </w:tc>
      </w:tr>
      <w:tr>
        <w:trPr>
          <w:cantSplit/>
        </w:trPr>
        <w:tc>
          <w:tcPr>
            <w:tcW w:type="dxa" w:w="2664"/>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Document validation</w:t>
            </w:r>
          </w:p>
        </w:tc>
        <w:tc>
          <w:tcPr>
            <w:tcW w:type="dxa" w:w="7272"/>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Compare fields between documents and the system; highlight conflicts and missing information</w:t>
            </w:r>
          </w:p>
        </w:tc>
      </w:tr>
      <w:tr>
        <w:trPr>
          <w:cantSplit/>
        </w:trPr>
        <w:tc>
          <w:tcPr>
            <w:tcW w:type="dxa" w:w="2664"/>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Customs readiness</w:t>
            </w:r>
          </w:p>
        </w:tc>
        <w:tc>
          <w:tcPr>
            <w:tcW w:type="dxa" w:w="7272"/>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Use approved item history to suggest expected document/procedure requirements for review</w:t>
            </w:r>
          </w:p>
        </w:tc>
      </w:tr>
      <w:tr>
        <w:trPr>
          <w:cantSplit/>
        </w:trPr>
        <w:tc>
          <w:tcPr>
            <w:tcW w:type="dxa" w:w="2664"/>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Alerts</w:t>
            </w:r>
          </w:p>
        </w:tc>
        <w:tc>
          <w:tcPr>
            <w:tcW w:type="dxa" w:w="7272"/>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Identify the next likely action and surface exceptions earlier using the order timeline</w:t>
            </w:r>
          </w:p>
        </w:tc>
      </w:tr>
      <w:tr>
        <w:trPr>
          <w:cantSplit/>
        </w:trPr>
        <w:tc>
          <w:tcPr>
            <w:tcW w:type="dxa" w:w="2664"/>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Freight analysis</w:t>
            </w:r>
          </w:p>
        </w:tc>
        <w:tc>
          <w:tcPr>
            <w:tcW w:type="dxa" w:w="7272"/>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Normalize offers and compare cost, transit, validity, free time and service details</w:t>
            </w:r>
          </w:p>
        </w:tc>
      </w:tr>
      <w:tr>
        <w:trPr>
          <w:cantSplit/>
        </w:trPr>
        <w:tc>
          <w:tcPr>
            <w:tcW w:type="dxa" w:w="2664"/>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Performance analysis</w:t>
            </w:r>
          </w:p>
        </w:tc>
        <w:tc>
          <w:tcPr>
            <w:tcW w:type="dxa" w:w="7272"/>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Detect repeated delays, communication failures, document issues and cost anomalies</w:t>
            </w:r>
          </w:p>
        </w:tc>
      </w:tr>
      <w:tr>
        <w:trPr>
          <w:cantSplit/>
        </w:trPr>
        <w:tc>
          <w:tcPr>
            <w:tcW w:type="dxa" w:w="2664"/>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Process improvement</w:t>
            </w:r>
          </w:p>
        </w:tc>
        <w:tc>
          <w:tcPr>
            <w:tcW w:type="dxa" w:w="7272"/>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Recommend changes to timing, responsibility or workflow based on historical outcomes</w:t>
            </w:r>
          </w:p>
        </w:tc>
      </w:tr>
    </w:tbl>
    <w:p>
      <w:pPr>
        <w:spacing w:after="40"/>
      </w:pPr>
    </w:p>
    <w:p>
      <w:pPr>
        <w:pStyle w:val="Heading2"/>
        <w:keepNext/>
        <w:spacing w:before="120" w:after="100" w:line="240" w:lineRule="auto"/>
      </w:pPr>
      <w:r>
        <w:rPr>
          <w:rFonts w:ascii="Aptos" w:hAnsi="Aptos"/>
          <w:b/>
          <w:color w:val="2563EB"/>
          <w:sz w:val="27"/>
        </w:rPr>
        <w:t>A Gradual Trust Model</w:t>
      </w:r>
    </w:p>
    <w:p>
      <w:pPr>
        <w:spacing w:before="0" w:after="140" w:line="269" w:lineRule="auto"/>
      </w:pPr>
      <w:r>
        <w:rPr>
          <w:rFonts w:ascii="Aptos" w:hAnsi="Aptos"/>
          <w:b w:val="0"/>
          <w:i w:val="0"/>
          <w:color w:val="172033"/>
          <w:sz w:val="21"/>
        </w:rPr>
        <w:t>Automation should mature in stages. A new process begins with human input. Repeated, verified patterns allow the system to propose values. Strongly validated patterns can later be automated where the company is comfortable doing so. Exceptions, new items and sensitive decisions return to human review.</w:t>
      </w:r>
    </w:p>
    <w:tbl>
      <w:tblPr>
        <w:tblW w:type="auto" w:w="0"/>
        <w:jc w:val="center"/>
        <w:tblLayout w:type="fixed"/>
        <w:tblLook w:firstColumn="1" w:firstRow="1" w:lastColumn="0" w:lastRow="0" w:noHBand="0" w:noVBand="1" w:val="04A0"/>
      </w:tblPr>
      <w:tblGrid>
        <w:gridCol w:w="3331"/>
        <w:gridCol w:w="3331"/>
        <w:gridCol w:w="3331"/>
      </w:tblGrid>
      <w:tr>
        <w:trPr>
          <w:tblHeader w:val="true"/>
          <w:cantSplit/>
        </w:trPr>
        <w:tc>
          <w:tcPr>
            <w:tcW w:type="dxa" w:w="1728"/>
            <w:shd w:fill="0F2744"/>
            <w:vAlign w:val="center"/>
            <w:tcMar>
              <w:top w:w="90" w:type="dxa"/>
              <w:start w:w="90" w:type="dxa"/>
              <w:bottom w:w="90" w:type="dxa"/>
              <w:end w:w="90" w:type="dxa"/>
            </w:tcMar>
          </w:tcPr>
          <w:p>
            <w:pPr>
              <w:spacing w:before="0" w:after="0" w:line="259" w:lineRule="auto"/>
              <w:jc w:val="left"/>
            </w:pPr>
            <w:r>
              <w:rPr>
                <w:rFonts w:ascii="Aptos" w:hAnsi="Aptos"/>
                <w:b/>
                <w:i w:val="0"/>
                <w:color w:val="FFFFFF"/>
                <w:sz w:val="17"/>
              </w:rPr>
              <w:t>Maturity level</w:t>
            </w:r>
          </w:p>
        </w:tc>
        <w:tc>
          <w:tcPr>
            <w:tcW w:type="dxa" w:w="5040"/>
            <w:shd w:fill="0F2744"/>
            <w:vAlign w:val="center"/>
            <w:tcMar>
              <w:top w:w="90" w:type="dxa"/>
              <w:start w:w="90" w:type="dxa"/>
              <w:bottom w:w="90" w:type="dxa"/>
              <w:end w:w="90" w:type="dxa"/>
            </w:tcMar>
          </w:tcPr>
          <w:p>
            <w:pPr>
              <w:spacing w:before="0" w:after="0" w:line="259" w:lineRule="auto"/>
              <w:jc w:val="left"/>
            </w:pPr>
            <w:r>
              <w:rPr>
                <w:rFonts w:ascii="Aptos" w:hAnsi="Aptos"/>
                <w:b/>
                <w:i w:val="0"/>
                <w:color w:val="FFFFFF"/>
                <w:sz w:val="17"/>
              </w:rPr>
              <w:t>System behavior</w:t>
            </w:r>
          </w:p>
        </w:tc>
        <w:tc>
          <w:tcPr>
            <w:tcW w:type="dxa" w:w="3168"/>
            <w:shd w:fill="0F2744"/>
            <w:vAlign w:val="center"/>
            <w:tcMar>
              <w:top w:w="90" w:type="dxa"/>
              <w:start w:w="90" w:type="dxa"/>
              <w:bottom w:w="90" w:type="dxa"/>
              <w:end w:w="90" w:type="dxa"/>
            </w:tcMar>
          </w:tcPr>
          <w:p>
            <w:pPr>
              <w:spacing w:before="0" w:after="0" w:line="259" w:lineRule="auto"/>
              <w:jc w:val="left"/>
            </w:pPr>
            <w:r>
              <w:rPr>
                <w:rFonts w:ascii="Aptos" w:hAnsi="Aptos"/>
                <w:b/>
                <w:i w:val="0"/>
                <w:color w:val="FFFFFF"/>
                <w:sz w:val="17"/>
              </w:rPr>
              <w:t>Human role</w:t>
            </w:r>
          </w:p>
        </w:tc>
      </w:tr>
      <w:tr>
        <w:trPr>
          <w:cantSplit/>
        </w:trPr>
        <w:tc>
          <w:tcPr>
            <w:tcW w:type="dxa" w:w="1728"/>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1. Record</w:t>
            </w:r>
          </w:p>
        </w:tc>
        <w:tc>
          <w:tcPr>
            <w:tcW w:type="dxa" w:w="5040"/>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The platform stores structured facts and actions</w:t>
            </w:r>
          </w:p>
        </w:tc>
        <w:tc>
          <w:tcPr>
            <w:tcW w:type="dxa" w:w="3168"/>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Enter and verify information</w:t>
            </w:r>
          </w:p>
        </w:tc>
      </w:tr>
      <w:tr>
        <w:trPr>
          <w:cantSplit/>
        </w:trPr>
        <w:tc>
          <w:tcPr>
            <w:tcW w:type="dxa" w:w="1728"/>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2. Remind</w:t>
            </w:r>
          </w:p>
        </w:tc>
        <w:tc>
          <w:tcPr>
            <w:tcW w:type="dxa" w:w="5040"/>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The platform identifies missing or overdue actions</w:t>
            </w:r>
          </w:p>
        </w:tc>
        <w:tc>
          <w:tcPr>
            <w:tcW w:type="dxa" w:w="3168"/>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Respond to alerts and complete work</w:t>
            </w:r>
          </w:p>
        </w:tc>
      </w:tr>
      <w:tr>
        <w:trPr>
          <w:cantSplit/>
        </w:trPr>
        <w:tc>
          <w:tcPr>
            <w:tcW w:type="dxa" w:w="1728"/>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3. Suggest</w:t>
            </w:r>
          </w:p>
        </w:tc>
        <w:tc>
          <w:tcPr>
            <w:tcW w:type="dxa" w:w="5040"/>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The platform proposes values or next steps from history/documents</w:t>
            </w:r>
          </w:p>
        </w:tc>
        <w:tc>
          <w:tcPr>
            <w:tcW w:type="dxa" w:w="3168"/>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Review and approve suggestions</w:t>
            </w:r>
          </w:p>
        </w:tc>
      </w:tr>
      <w:tr>
        <w:trPr>
          <w:cantSplit/>
        </w:trPr>
        <w:tc>
          <w:tcPr>
            <w:tcW w:type="dxa" w:w="1728"/>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4. Automate</w:t>
            </w:r>
          </w:p>
        </w:tc>
        <w:tc>
          <w:tcPr>
            <w:tcW w:type="dxa" w:w="5040"/>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Approved low-risk repetitive actions can execute automatically</w:t>
            </w:r>
          </w:p>
        </w:tc>
        <w:tc>
          <w:tcPr>
            <w:tcW w:type="dxa" w:w="3168"/>
            <w:shd w:fill="F7F9FC"/>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Set rules, monitor exceptions, retain override</w:t>
            </w:r>
          </w:p>
        </w:tc>
      </w:tr>
      <w:tr>
        <w:trPr>
          <w:cantSplit/>
        </w:trPr>
        <w:tc>
          <w:tcPr>
            <w:tcW w:type="dxa" w:w="1728"/>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5. Improve</w:t>
            </w:r>
          </w:p>
        </w:tc>
        <w:tc>
          <w:tcPr>
            <w:tcW w:type="dxa" w:w="5040"/>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The platform analyzes outcomes and recurring failure points</w:t>
            </w:r>
          </w:p>
        </w:tc>
        <w:tc>
          <w:tcPr>
            <w:tcW w:type="dxa" w:w="3168"/>
            <w:shd w:fill="FFFFFF"/>
            <w:tcMar>
              <w:top w:w="85" w:type="dxa"/>
              <w:start w:w="90" w:type="dxa"/>
              <w:bottom w:w="85" w:type="dxa"/>
              <w:end w:w="90" w:type="dxa"/>
            </w:tcMar>
            <w:vAlign w:val="top"/>
            <w:tcBorders>
              <w:top w:val="single" w:sz="4" w:color="D7E0EA"/>
              <w:left w:val="single" w:sz="4" w:color="D7E0EA"/>
              <w:bottom w:val="single" w:sz="4" w:color="D7E0EA"/>
              <w:right w:val="single" w:sz="4" w:color="D7E0EA"/>
            </w:tcBorders>
          </w:tcPr>
          <w:p>
            <w:pPr>
              <w:spacing w:before="0" w:after="0" w:line="250" w:lineRule="auto"/>
            </w:pPr>
            <w:r>
              <w:rPr>
                <w:rFonts w:ascii="Aptos" w:hAnsi="Aptos"/>
                <w:b w:val="0"/>
                <w:i w:val="0"/>
                <w:color w:val="172033"/>
                <w:sz w:val="17"/>
              </w:rPr>
              <w:t>Decide process changes and policy</w:t>
            </w:r>
          </w:p>
        </w:tc>
      </w:tr>
    </w:tbl>
    <w:p>
      <w:pPr>
        <w:spacing w:after="40"/>
      </w:pPr>
    </w:p>
    <w:p>
      <w:pPr>
        <w:pStyle w:val="Heading1"/>
        <w:keepNext/>
        <w:spacing w:before="200" w:after="100" w:line="240" w:lineRule="auto"/>
      </w:pPr>
      <w:r>
        <w:rPr>
          <w:rFonts w:ascii="Aptos" w:hAnsi="Aptos"/>
          <w:b/>
          <w:color w:val="0F2744"/>
          <w:sz w:val="38"/>
        </w:rPr>
        <w:t>15. Implementation Approach</w:t>
      </w:r>
    </w:p>
    <w:p>
      <w:pPr>
        <w:spacing w:before="0" w:after="140" w:line="269" w:lineRule="auto"/>
      </w:pPr>
      <w:r>
        <w:rPr>
          <w:rFonts w:ascii="Aptos" w:hAnsi="Aptos"/>
          <w:b w:val="0"/>
          <w:i w:val="0"/>
          <w:color w:val="172033"/>
          <w:sz w:val="21"/>
        </w:rPr>
        <w:t>A successful rollout does not require the company to redesign its entire supply chain on day one. A practical implementation can move in controlled stages.</w:t>
      </w:r>
    </w:p>
    <w:p>
      <w:pPr>
        <w:pStyle w:val="ListNumber"/>
        <w:spacing w:before="0" w:after="80" w:line="252" w:lineRule="auto"/>
      </w:pPr>
      <w:r>
        <w:rPr>
          <w:rFonts w:ascii="Aptos" w:hAnsi="Aptos"/>
          <w:color w:val="172033"/>
          <w:sz w:val="20"/>
        </w:rPr>
        <w:t>Load or define the core suppliers, imported items and operational service providers.</w:t>
      </w:r>
    </w:p>
    <w:p>
      <w:pPr>
        <w:pStyle w:val="ListNumber"/>
        <w:spacing w:before="0" w:after="80" w:line="252" w:lineRule="auto"/>
      </w:pPr>
      <w:r>
        <w:rPr>
          <w:rFonts w:ascii="Aptos" w:hAnsi="Aptos"/>
          <w:color w:val="172033"/>
          <w:sz w:val="20"/>
        </w:rPr>
        <w:t>Configure company settings, currencies, customs profiles, users, permission groups and order visibility.</w:t>
      </w:r>
    </w:p>
    <w:p>
      <w:pPr>
        <w:pStyle w:val="ListNumber"/>
        <w:spacing w:before="0" w:after="80" w:line="252" w:lineRule="auto"/>
      </w:pPr>
      <w:r>
        <w:rPr>
          <w:rFonts w:ascii="Aptos" w:hAnsi="Aptos"/>
          <w:color w:val="172033"/>
          <w:sz w:val="20"/>
        </w:rPr>
        <w:t>Begin managing new import orders in ImportlyAI and keep the operational record complete.</w:t>
      </w:r>
    </w:p>
    <w:p>
      <w:pPr>
        <w:pStyle w:val="ListNumber"/>
        <w:spacing w:before="0" w:after="80" w:line="252" w:lineRule="auto"/>
      </w:pPr>
      <w:r>
        <w:rPr>
          <w:rFonts w:ascii="Aptos" w:hAnsi="Aptos"/>
          <w:color w:val="172033"/>
          <w:sz w:val="20"/>
        </w:rPr>
        <w:t>Use the process pages, assignments and notifications as the daily work queues for shipping, customs and containers.</w:t>
      </w:r>
    </w:p>
    <w:p>
      <w:pPr>
        <w:pStyle w:val="ListNumber"/>
        <w:spacing w:before="0" w:after="80" w:line="252" w:lineRule="auto"/>
      </w:pPr>
      <w:r>
        <w:rPr>
          <w:rFonts w:ascii="Aptos" w:hAnsi="Aptos"/>
          <w:color w:val="172033"/>
          <w:sz w:val="20"/>
        </w:rPr>
        <w:t>Standardize required documents, warnings and supplier evaluation as the team gains experience.</w:t>
      </w:r>
    </w:p>
    <w:p>
      <w:pPr>
        <w:pStyle w:val="ListNumber"/>
        <w:spacing w:before="0" w:after="80" w:line="252" w:lineRule="auto"/>
      </w:pPr>
      <w:r>
        <w:rPr>
          <w:rFonts w:ascii="Aptos" w:hAnsi="Aptos"/>
          <w:color w:val="172033"/>
          <w:sz w:val="20"/>
        </w:rPr>
        <w:t>Review reports and activity history to identify missing information and repeated process failures.</w:t>
      </w:r>
    </w:p>
    <w:p>
      <w:pPr>
        <w:pStyle w:val="ListNumber"/>
        <w:spacing w:before="0" w:after="80" w:line="252" w:lineRule="auto"/>
      </w:pPr>
      <w:r>
        <w:rPr>
          <w:rFonts w:ascii="Aptos" w:hAnsi="Aptos"/>
          <w:color w:val="172033"/>
          <w:sz w:val="20"/>
        </w:rPr>
        <w:t>Introduce selected AI-assisted document and data-entry workflows only where source data and review responsibilities are clear.</w:t>
      </w:r>
    </w:p>
    <w:p>
      <w:pPr>
        <w:pStyle w:val="ListNumber"/>
        <w:spacing w:before="0" w:after="80" w:line="252" w:lineRule="auto"/>
      </w:pPr>
      <w:r>
        <w:rPr>
          <w:rFonts w:ascii="Aptos" w:hAnsi="Aptos"/>
          <w:color w:val="172033"/>
          <w:sz w:val="20"/>
        </w:rPr>
        <w:t>Integrate accounting/ERP and external partners when the internal process is sufficiently standardized to benefit from automation.</w:t>
      </w:r>
    </w:p>
    <w:p>
      <w:pPr>
        <w:pStyle w:val="Heading1"/>
        <w:keepNext/>
        <w:spacing w:before="200" w:after="100" w:line="240" w:lineRule="auto"/>
      </w:pPr>
      <w:r>
        <w:rPr>
          <w:rFonts w:ascii="Aptos" w:hAnsi="Aptos"/>
          <w:b/>
          <w:color w:val="0F2744"/>
          <w:sz w:val="38"/>
        </w:rPr>
        <w:t>16. The Long-Term Operating Model</w:t>
      </w:r>
    </w:p>
    <w:p>
      <w:pPr>
        <w:spacing w:before="0" w:after="140" w:line="269" w:lineRule="auto"/>
      </w:pPr>
      <w:r>
        <w:rPr>
          <w:rFonts w:ascii="Aptos" w:hAnsi="Aptos"/>
          <w:b w:val="0"/>
          <w:i w:val="0"/>
          <w:color w:val="172033"/>
          <w:sz w:val="21"/>
        </w:rPr>
        <w:t>The long-term objective is a connected import-operation environment in which the company does not need to repeatedly ask, “What is happening with this order?” The order itself should show the current state, missing requirements, responsible parties, deadlines, documents, costs, discussions, container status and next actions.</w:t>
      </w:r>
    </w:p>
    <w:p>
      <w:pPr>
        <w:spacing w:before="0" w:after="140" w:line="269" w:lineRule="auto"/>
      </w:pPr>
      <w:r>
        <w:rPr>
          <w:rFonts w:ascii="Aptos" w:hAnsi="Aptos"/>
          <w:b w:val="0"/>
          <w:i w:val="0"/>
          <w:color w:val="172033"/>
          <w:sz w:val="21"/>
        </w:rPr>
        <w:t>Internal departments and approved external partners can participate in the same process according to their permissions. Repetitive information can be reused or extracted. Exceptions can be escalated early. Management can see both current risk and historical performance. Accounting systems can receive approved financial outcomes without becoming the place where operational logistics are manually reconstructed.</w:t>
      </w:r>
    </w:p>
    <w:tbl>
      <w:tblPr>
        <w:tblW w:type="auto" w:w="0"/>
        <w:jc w:val="center"/>
        <w:tblLayout w:type="fixed"/>
        <w:tblLook w:firstColumn="1" w:firstRow="1" w:lastColumn="0" w:lastRow="0" w:noHBand="0" w:noVBand="1" w:val="04A0"/>
      </w:tblPr>
      <w:tblGrid>
        <w:gridCol w:w="173"/>
        <w:gridCol w:w="10008"/>
      </w:tblGrid>
      <w:tr>
        <w:tc>
          <w:tcPr>
            <w:tcW w:type="dxa" w:w="4997"/>
            <w:shd w:fill="2563EB"/>
            <w:tcMar>
              <w:top w:w="80" w:type="dxa"/>
              <w:start w:w="20" w:type="dxa"/>
              <w:bottom w:w="80" w:type="dxa"/>
              <w:end w:w="20" w:type="dxa"/>
            </w:tcMar>
            <w:tcBorders>
              <w:top w:val="nil"/>
              <w:left w:val="nil"/>
              <w:bottom w:val="nil"/>
              <w:right w:val="nil"/>
            </w:tcBorders>
          </w:tcPr>
          <w:p/>
        </w:tc>
        <w:tc>
          <w:tcPr>
            <w:tcW w:type="dxa" w:w="4997"/>
            <w:shd w:fill="EAF2FF"/>
            <w:tcMar>
              <w:top w:w="130" w:type="dxa"/>
              <w:start w:w="180" w:type="dxa"/>
              <w:bottom w:w="130" w:type="dxa"/>
              <w:end w:w="180" w:type="dxa"/>
            </w:tcMar>
            <w:tcBorders>
              <w:top w:val="nil"/>
              <w:left w:val="nil"/>
              <w:bottom w:val="nil"/>
              <w:right w:val="nil"/>
            </w:tcBorders>
          </w:tcPr>
          <w:p>
            <w:pPr>
              <w:spacing w:before="0" w:after="60" w:line="259" w:lineRule="auto"/>
            </w:pPr>
            <w:r>
              <w:rPr>
                <w:rFonts w:ascii="Aptos" w:hAnsi="Aptos"/>
                <w:b/>
                <w:i w:val="0"/>
                <w:color w:val="0F2744"/>
                <w:sz w:val="21"/>
              </w:rPr>
              <w:t>End state</w:t>
            </w:r>
          </w:p>
          <w:p>
            <w:pPr>
              <w:spacing w:before="0" w:after="0" w:line="259" w:lineRule="auto"/>
            </w:pPr>
            <w:r>
              <w:rPr>
                <w:rFonts w:ascii="Aptos" w:hAnsi="Aptos"/>
                <w:b w:val="0"/>
                <w:i w:val="0"/>
                <w:color w:val="172033"/>
                <w:sz w:val="19"/>
              </w:rPr>
              <w:t>ImportlyAI aims to move import management from fragmented follow-up toward a controlled operating system: one structured order record, clear responsibilities, timely exceptions, reusable knowledge and progressively stronger automation.</w:t>
            </w:r>
          </w:p>
        </w:tc>
      </w:tr>
    </w:tbl>
    <w:p>
      <w:pPr>
        <w:spacing w:after="20"/>
      </w:pPr>
    </w:p>
    <w:p>
      <w:pPr>
        <w:pStyle w:val="Heading1"/>
        <w:keepNext/>
        <w:spacing w:before="200" w:after="100" w:line="240" w:lineRule="auto"/>
      </w:pPr>
      <w:r>
        <w:rPr>
          <w:rFonts w:ascii="Aptos" w:hAnsi="Aptos"/>
          <w:b/>
          <w:color w:val="0F2744"/>
          <w:sz w:val="38"/>
        </w:rPr>
        <w:t>Conclusion</w:t>
      </w:r>
    </w:p>
    <w:p>
      <w:pPr>
        <w:spacing w:before="0" w:after="140" w:line="269" w:lineRule="auto"/>
      </w:pPr>
      <w:r>
        <w:rPr>
          <w:rFonts w:ascii="Aptos" w:hAnsi="Aptos"/>
          <w:b w:val="0"/>
          <w:i w:val="0"/>
          <w:color w:val="172033"/>
          <w:sz w:val="21"/>
        </w:rPr>
        <w:t>ImportlyAI’s primary value is operational clarity. It organizes the complete import-order journey from approved order through supplier readiness, freight, documents, customs, containers, inland delivery, receipt and return. It also preserves the collaboration and history around that journey so the company can learn from every order.</w:t>
      </w:r>
    </w:p>
    <w:p>
      <w:pPr>
        <w:spacing w:before="0" w:after="140" w:line="269" w:lineRule="auto"/>
      </w:pPr>
      <w:r>
        <w:rPr>
          <w:rFonts w:ascii="Aptos" w:hAnsi="Aptos"/>
          <w:b w:val="0"/>
          <w:i w:val="0"/>
          <w:color w:val="172033"/>
          <w:sz w:val="21"/>
        </w:rPr>
        <w:t>This foundation creates two benefits at the same time: better control today and better automation tomorrow. By structuring import data and making responsibilities visible, the platform can progressively reduce repetitive work, improve response time, support better decisions and give management a measurable view of how effectively the company manages its imports.</w:t>
      </w:r>
    </w:p>
    <w:p>
      <w:pPr>
        <w:spacing w:before="360" w:after="0"/>
      </w:pPr>
      <w:r>
        <w:rPr>
          <w:rFonts w:ascii="Aptos" w:hAnsi="Aptos"/>
          <w:b/>
          <w:i w:val="0"/>
          <w:color w:val="2563EB"/>
          <w:sz w:val="20"/>
        </w:rPr>
        <w:t>IMPORTAI</w:t>
      </w:r>
    </w:p>
    <w:p>
      <w:pPr>
        <w:spacing w:before="0" w:after="0" w:line="259" w:lineRule="auto"/>
      </w:pPr>
      <w:r>
        <w:rPr>
          <w:rFonts w:ascii="Aptos" w:hAnsi="Aptos"/>
          <w:b w:val="0"/>
          <w:i/>
          <w:color w:val="64748B"/>
          <w:sz w:val="19"/>
        </w:rPr>
        <w:t>Import operations, organized for execution and ready for intelligent automation.</w:t>
      </w:r>
    </w:p>
    <w:sectPr w:rsidR="00FC693F" w:rsidRPr="0006063C" w:rsidSect="00034616">
      <w:headerReference w:type="default" r:id="rId9"/>
      <w:footerReference w:type="default" r:id="rId10"/>
      <w:pgSz w:w="12240" w:h="15840"/>
      <w:pgMar w:top="1080"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ayout w:type="fixed"/>
      <w:tblLook w:firstColumn="1" w:firstRow="1" w:lastColumn="0" w:lastRow="0" w:noHBand="0" w:noVBand="1" w:val="04A0"/>
    </w:tblPr>
    <w:tblGrid>
      <w:gridCol w:w="8208"/>
      <w:gridCol w:w="1872"/>
    </w:tblGrid>
    <w:tr>
      <w:tc>
        <w:tcPr>
          <w:tcW w:type="dxa" w:w="5040"/>
        </w:tcPr>
        <w:p>
          <w:pPr>
            <w:spacing w:before="0" w:after="0" w:line="259" w:lineRule="auto"/>
          </w:pPr>
          <w:r>
            <w:rPr>
              <w:rFonts w:ascii="Aptos" w:hAnsi="Aptos"/>
              <w:b w:val="0"/>
              <w:i w:val="0"/>
              <w:color w:val="64748B"/>
              <w:sz w:val="16"/>
            </w:rPr>
            <w:t>Product overview • September 2026</w:t>
          </w:r>
        </w:p>
      </w:tc>
      <w:tc>
        <w:tcPr>
          <w:tcW w:type="dxa" w:w="5040"/>
        </w:tcPr>
        <w:p>
          <w:pPr>
            <w:spacing w:before="0" w:after="0" w:line="259" w:lineRule="auto"/>
            <w:jc w:val="right"/>
          </w:pPr>
          <w:r>
            <w:rPr>
              <w:rFonts w:ascii="Aptos" w:hAnsi="Aptos"/>
              <w:b/>
              <w:i w:val="0"/>
              <w:color w:val="0F2744"/>
              <w:sz w:val="16"/>
            </w:rPr>
            <w:t>ImportlyAI</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59" w:lineRule="auto"/>
      <w:jc w:val="right"/>
    </w:pPr>
    <w:r>
      <w:rPr>
        <w:rFonts w:ascii="Aptos" w:hAnsi="Aptos"/>
        <w:b/>
        <w:i w:val="0"/>
        <w:color w:val="64748B"/>
        <w:sz w:val="17"/>
      </w:rPr>
      <w:t>ImportlyAI  |  Import Operations Management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1720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F2744"/>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2563E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0F766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F2744"/>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b w:val="0"/>
      <w:i/>
      <w:iCs/>
      <w:color w:val="64748B"/>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color w:val="172033"/>
      <w:sz w:val="20"/>
    </w:rPr>
  </w:style>
  <w:style w:type="paragraph" w:styleId="ListBullet2">
    <w:name w:val="List Bullet 2"/>
    <w:basedOn w:val="Normal"/>
    <w:uiPriority w:val="99"/>
    <w:unhideWhenUsed/>
    <w:rsid w:val="00326F90"/>
    <w:pPr>
      <w:numPr>
        <w:numId w:val="2"/>
      </w:numPr>
      <w:contextualSpacing/>
    </w:pPr>
    <w:rPr>
      <w:rFonts w:ascii="Aptos" w:hAnsi="Aptos"/>
      <w:color w:val="172033"/>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color w:val="172033"/>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ImportlyAI - Import Operations Management Platform</dc:title>
  <dc:subject>Product scope, operating model and AI-enabled direction</dc:subject>
  <dc:creator>ImportlyAI</dc:creator>
  <cp:keywords>ImportlyAI, import operations, supply chain, customs, shipping, containers, AI</cp:keywords>
  <dc:description>generated by python-docx</dc:description>
  <cp:lastModifiedBy/>
  <cp:revision>1</cp:revision>
  <dcterms:created xsi:type="dcterms:W3CDTF">2013-12-23T23:15:00Z</dcterms:created>
  <dcterms:modified xsi:type="dcterms:W3CDTF">2013-12-23T23:15:00Z</dcterms:modified>
  <cp:category/>
</cp:coreProperties>
</file>